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761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1321AD" w14:paraId="4EA7B9A0" w14:textId="77777777" w:rsidTr="00A71516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492198D5" w14:textId="77777777" w:rsidR="001321AD" w:rsidRPr="00041F83" w:rsidRDefault="001321AD" w:rsidP="00A7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28F102FD" w14:textId="77777777" w:rsidR="001321AD" w:rsidRDefault="001321AD" w:rsidP="00A71516">
            <w:pPr>
              <w:spacing w:after="0"/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10C750F" w14:textId="77777777" w:rsidR="001321AD" w:rsidRPr="00041F83" w:rsidRDefault="001321AD" w:rsidP="00A71516">
            <w:pPr>
              <w:spacing w:after="0"/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15F38F6D" w14:textId="77777777" w:rsidR="001321AD" w:rsidRDefault="001321AD" w:rsidP="00A71516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3BD20D4F" w14:textId="77777777" w:rsidR="001321AD" w:rsidRPr="00041F83" w:rsidRDefault="001321AD" w:rsidP="00A7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045558D5" w14:textId="77777777" w:rsidR="001321AD" w:rsidRPr="00C743FE" w:rsidRDefault="001321AD" w:rsidP="00A71516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93DA1A5" w14:textId="77777777" w:rsidR="001321AD" w:rsidRPr="00C743FE" w:rsidRDefault="001321AD" w:rsidP="00A71516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C6F0E9C" w14:textId="77777777" w:rsidR="001321AD" w:rsidRPr="00C743FE" w:rsidRDefault="001321AD" w:rsidP="00A71516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B903E14" w14:textId="77777777" w:rsidR="001321AD" w:rsidRPr="00C743FE" w:rsidRDefault="001321AD" w:rsidP="00A71516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7AA6314" w14:textId="77777777" w:rsidR="001321AD" w:rsidRPr="00C743FE" w:rsidRDefault="001321AD" w:rsidP="00A7151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321AD" w14:paraId="3C745B3D" w14:textId="77777777" w:rsidTr="00A71516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3891448" w14:textId="77777777" w:rsidR="001321AD" w:rsidRPr="00041F83" w:rsidRDefault="001321AD" w:rsidP="00A7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0CDBC9E1" w14:textId="77777777" w:rsidR="001321AD" w:rsidRDefault="001321AD" w:rsidP="00A71516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14:paraId="66DC674C" w14:textId="77777777" w:rsidR="001321AD" w:rsidRPr="00041F83" w:rsidRDefault="001321AD" w:rsidP="00A715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73AF0B" w14:textId="77777777" w:rsidR="001321AD" w:rsidRDefault="001321AD" w:rsidP="00A71516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0F0A11" w14:textId="77777777" w:rsidR="001321AD" w:rsidRDefault="001321AD" w:rsidP="00A71516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021C8C" w14:textId="77777777" w:rsidR="001321AD" w:rsidRDefault="001321AD" w:rsidP="00A71516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0DEFB2" w14:textId="77777777" w:rsidR="001321AD" w:rsidRDefault="009860D0" w:rsidP="00A71516">
            <w:pPr>
              <w:spacing w:after="0"/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B1220F" w14:textId="77777777" w:rsidR="001321AD" w:rsidRDefault="001321AD" w:rsidP="00A71516">
            <w:pPr>
              <w:spacing w:after="0"/>
              <w:jc w:val="center"/>
            </w:pPr>
          </w:p>
        </w:tc>
      </w:tr>
      <w:tr w:rsidR="001321AD" w14:paraId="790CA91B" w14:textId="77777777" w:rsidTr="00A71516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6DD0492" w14:textId="77777777" w:rsidR="001321AD" w:rsidRDefault="001321AD" w:rsidP="00A715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AF1DD" w:themeFill="accent3" w:themeFillTint="33"/>
            <w:vAlign w:val="center"/>
          </w:tcPr>
          <w:p w14:paraId="78052941" w14:textId="77777777" w:rsidR="001321AD" w:rsidRPr="00247668" w:rsidRDefault="001321AD" w:rsidP="00A7151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781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5954"/>
        <w:gridCol w:w="4536"/>
      </w:tblGrid>
      <w:tr w:rsidR="008255F5" w14:paraId="438F121F" w14:textId="77777777" w:rsidTr="008F3253">
        <w:trPr>
          <w:cantSplit/>
          <w:trHeight w:val="1134"/>
        </w:trPr>
        <w:tc>
          <w:tcPr>
            <w:tcW w:w="1242" w:type="dxa"/>
            <w:shd w:val="clear" w:color="auto" w:fill="F2F2F2" w:themeFill="background1" w:themeFillShade="F2"/>
            <w:textDirection w:val="btLr"/>
          </w:tcPr>
          <w:p w14:paraId="75C072CE" w14:textId="77777777" w:rsidR="008255F5" w:rsidRPr="00963D7B" w:rsidRDefault="008255F5" w:rsidP="002500DB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963D7B">
              <w:rPr>
                <w:b/>
                <w:iCs/>
                <w:sz w:val="20"/>
                <w:szCs w:val="20"/>
              </w:rPr>
              <w:t>SYNTHESE REFERENTIEL NATIONAL</w:t>
            </w:r>
          </w:p>
        </w:tc>
        <w:tc>
          <w:tcPr>
            <w:tcW w:w="4111" w:type="dxa"/>
          </w:tcPr>
          <w:p w14:paraId="73014EBB" w14:textId="77777777" w:rsidR="008255F5" w:rsidRPr="00963D7B" w:rsidRDefault="008255F5" w:rsidP="002500DB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3D7B">
              <w:rPr>
                <w:b/>
                <w:bCs/>
                <w:color w:val="FF0000"/>
                <w:sz w:val="20"/>
                <w:szCs w:val="20"/>
              </w:rPr>
              <w:t>EPREUVE :</w:t>
            </w:r>
          </w:p>
          <w:p w14:paraId="14364C8E" w14:textId="77777777" w:rsidR="009860D0" w:rsidRPr="009860D0" w:rsidRDefault="008255F5" w:rsidP="009860D0">
            <w:pPr>
              <w:spacing w:after="0"/>
              <w:rPr>
                <w:bCs/>
                <w:sz w:val="20"/>
                <w:szCs w:val="24"/>
              </w:rPr>
            </w:pPr>
            <w:r w:rsidRPr="009860D0">
              <w:rPr>
                <w:sz w:val="16"/>
                <w:szCs w:val="20"/>
              </w:rPr>
              <w:t xml:space="preserve"> </w:t>
            </w:r>
            <w:r w:rsidR="009860D0" w:rsidRPr="009860D0">
              <w:rPr>
                <w:bCs/>
                <w:sz w:val="20"/>
                <w:szCs w:val="24"/>
              </w:rPr>
              <w:t xml:space="preserve">- plusieurs oppositions avec </w:t>
            </w:r>
            <w:r w:rsidR="009860D0" w:rsidRPr="009860D0">
              <w:rPr>
                <w:b/>
                <w:bCs/>
                <w:sz w:val="20"/>
                <w:szCs w:val="24"/>
              </w:rPr>
              <w:t>rapport de force équilibré</w:t>
            </w:r>
          </w:p>
          <w:p w14:paraId="0223975E" w14:textId="77777777" w:rsidR="009860D0" w:rsidRPr="009860D0" w:rsidRDefault="009860D0" w:rsidP="009860D0">
            <w:pPr>
              <w:spacing w:after="0"/>
              <w:rPr>
                <w:bCs/>
                <w:sz w:val="20"/>
                <w:szCs w:val="24"/>
              </w:rPr>
            </w:pPr>
            <w:r w:rsidRPr="009860D0">
              <w:rPr>
                <w:bCs/>
                <w:sz w:val="20"/>
                <w:szCs w:val="24"/>
              </w:rPr>
              <w:t>- Adaptation du règlement</w:t>
            </w:r>
          </w:p>
          <w:p w14:paraId="2A7291F8" w14:textId="77777777" w:rsidR="008255F5" w:rsidRPr="00963D7B" w:rsidRDefault="009860D0" w:rsidP="009860D0">
            <w:pPr>
              <w:spacing w:after="0"/>
              <w:rPr>
                <w:sz w:val="20"/>
                <w:szCs w:val="20"/>
              </w:rPr>
            </w:pPr>
            <w:r w:rsidRPr="009860D0">
              <w:rPr>
                <w:bCs/>
                <w:sz w:val="20"/>
                <w:szCs w:val="24"/>
              </w:rPr>
              <w:t xml:space="preserve">- </w:t>
            </w:r>
            <w:r w:rsidRPr="009860D0">
              <w:rPr>
                <w:b/>
                <w:bCs/>
                <w:sz w:val="20"/>
                <w:szCs w:val="24"/>
              </w:rPr>
              <w:t>temps d’analyse entre 2 séquences de jeu</w:t>
            </w:r>
            <w:r w:rsidRPr="009860D0">
              <w:rPr>
                <w:bCs/>
                <w:sz w:val="20"/>
                <w:szCs w:val="24"/>
              </w:rPr>
              <w:t xml:space="preserve"> pour ajuster sa stratégie</w:t>
            </w:r>
          </w:p>
        </w:tc>
        <w:tc>
          <w:tcPr>
            <w:tcW w:w="5954" w:type="dxa"/>
          </w:tcPr>
          <w:p w14:paraId="0856A001" w14:textId="77777777" w:rsidR="008F3253" w:rsidRDefault="008255F5" w:rsidP="002500DB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3D7B">
              <w:rPr>
                <w:b/>
                <w:bCs/>
                <w:color w:val="FF0000"/>
                <w:sz w:val="20"/>
                <w:szCs w:val="20"/>
              </w:rPr>
              <w:t xml:space="preserve">AFLP 1 + AFLP 2 = MOTEUR /12 points </w:t>
            </w:r>
          </w:p>
          <w:p w14:paraId="7E4506B9" w14:textId="77777777" w:rsidR="008255F5" w:rsidRPr="00963D7B" w:rsidRDefault="008255F5" w:rsidP="002500DB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963D7B">
              <w:rPr>
                <w:b/>
                <w:bCs/>
                <w:color w:val="FF0000"/>
                <w:sz w:val="20"/>
                <w:szCs w:val="20"/>
              </w:rPr>
              <w:t>lors</w:t>
            </w:r>
            <w:proofErr w:type="gramEnd"/>
            <w:r w:rsidRPr="00963D7B">
              <w:rPr>
                <w:b/>
                <w:bCs/>
                <w:color w:val="FF0000"/>
                <w:sz w:val="20"/>
                <w:szCs w:val="20"/>
              </w:rPr>
              <w:t xml:space="preserve"> de l’épreuve de fin de séquence</w:t>
            </w:r>
          </w:p>
          <w:p w14:paraId="391FE889" w14:textId="77777777" w:rsidR="008F3253" w:rsidRPr="008F3253" w:rsidRDefault="008F3253" w:rsidP="008F3253">
            <w:pPr>
              <w:spacing w:after="0"/>
              <w:rPr>
                <w:bCs/>
                <w:sz w:val="20"/>
                <w:szCs w:val="24"/>
              </w:rPr>
            </w:pPr>
            <w:r w:rsidRPr="008F3253">
              <w:rPr>
                <w:bCs/>
                <w:sz w:val="20"/>
                <w:szCs w:val="24"/>
              </w:rPr>
              <w:t xml:space="preserve">- AFLP1 /7 = identification des situations favorables </w:t>
            </w:r>
            <w:r w:rsidRPr="008F3253">
              <w:rPr>
                <w:b/>
                <w:bCs/>
                <w:sz w:val="20"/>
                <w:szCs w:val="24"/>
              </w:rPr>
              <w:t>coefficientée en fonction du gain des matchs</w:t>
            </w:r>
          </w:p>
          <w:p w14:paraId="18289707" w14:textId="77777777" w:rsidR="008255F5" w:rsidRPr="00963D7B" w:rsidRDefault="008F3253" w:rsidP="008F3253">
            <w:pPr>
              <w:spacing w:after="0"/>
              <w:rPr>
                <w:sz w:val="20"/>
                <w:szCs w:val="20"/>
              </w:rPr>
            </w:pPr>
            <w:r w:rsidRPr="008F3253">
              <w:rPr>
                <w:bCs/>
                <w:sz w:val="20"/>
                <w:szCs w:val="24"/>
              </w:rPr>
              <w:t>- AFLP2 /5 = utilisation des techniques et tactiques d’attaque et de défense</w:t>
            </w:r>
          </w:p>
        </w:tc>
        <w:tc>
          <w:tcPr>
            <w:tcW w:w="4536" w:type="dxa"/>
          </w:tcPr>
          <w:p w14:paraId="6836B76A" w14:textId="77777777" w:rsidR="008255F5" w:rsidRPr="00963D7B" w:rsidRDefault="008255F5" w:rsidP="002500DB">
            <w:pPr>
              <w:spacing w:after="0"/>
              <w:rPr>
                <w:sz w:val="20"/>
                <w:szCs w:val="20"/>
                <w:u w:val="single"/>
              </w:rPr>
            </w:pPr>
            <w:r w:rsidRPr="00963D7B">
              <w:rPr>
                <w:b/>
                <w:color w:val="FF0000"/>
                <w:sz w:val="20"/>
                <w:szCs w:val="20"/>
              </w:rPr>
              <w:t xml:space="preserve">2 AFLP choisis parmi </w:t>
            </w:r>
            <w:r>
              <w:rPr>
                <w:b/>
                <w:color w:val="FF0000"/>
                <w:sz w:val="20"/>
                <w:szCs w:val="20"/>
              </w:rPr>
              <w:t xml:space="preserve">4 </w:t>
            </w:r>
            <w:r w:rsidRPr="00963D7B">
              <w:rPr>
                <w:b/>
                <w:color w:val="FF0000"/>
                <w:sz w:val="20"/>
                <w:szCs w:val="20"/>
              </w:rPr>
              <w:t xml:space="preserve">/ 8 pts </w:t>
            </w:r>
            <w:r>
              <w:rPr>
                <w:b/>
                <w:color w:val="FF0000"/>
                <w:sz w:val="20"/>
                <w:szCs w:val="20"/>
              </w:rPr>
              <w:t xml:space="preserve">au fil de la séquence : </w:t>
            </w:r>
          </w:p>
          <w:p w14:paraId="16274F7A" w14:textId="77777777" w:rsidR="008255F5" w:rsidRPr="00963D7B" w:rsidRDefault="008255F5" w:rsidP="002500DB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AFLP3 : </w:t>
            </w:r>
            <w:r w:rsidRPr="002921F5">
              <w:rPr>
                <w:b/>
                <w:sz w:val="20"/>
                <w:szCs w:val="20"/>
              </w:rPr>
              <w:t>Persévérance</w:t>
            </w:r>
            <w:r w:rsidRPr="00963D7B">
              <w:rPr>
                <w:sz w:val="20"/>
                <w:szCs w:val="20"/>
              </w:rPr>
              <w:t xml:space="preserve"> </w:t>
            </w:r>
            <w:r w:rsidR="009860D0">
              <w:rPr>
                <w:sz w:val="20"/>
                <w:szCs w:val="20"/>
              </w:rPr>
              <w:t xml:space="preserve">et </w:t>
            </w:r>
            <w:r w:rsidR="009860D0" w:rsidRPr="009860D0">
              <w:rPr>
                <w:b/>
                <w:sz w:val="20"/>
                <w:szCs w:val="20"/>
              </w:rPr>
              <w:t>répétition</w:t>
            </w:r>
            <w:r w:rsidRPr="00963D7B">
              <w:rPr>
                <w:sz w:val="20"/>
                <w:szCs w:val="20"/>
              </w:rPr>
              <w:t xml:space="preserve"> </w:t>
            </w:r>
          </w:p>
          <w:p w14:paraId="7D20B95C" w14:textId="77777777" w:rsidR="008255F5" w:rsidRPr="00963D7B" w:rsidRDefault="008255F5" w:rsidP="002500DB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AFLP4 : </w:t>
            </w:r>
            <w:r w:rsidRPr="00963D7B">
              <w:rPr>
                <w:sz w:val="20"/>
                <w:szCs w:val="20"/>
              </w:rPr>
              <w:t>Implication dans le</w:t>
            </w:r>
            <w:r w:rsidR="009860D0">
              <w:rPr>
                <w:sz w:val="20"/>
                <w:szCs w:val="20"/>
              </w:rPr>
              <w:t>s</w:t>
            </w:r>
            <w:r w:rsidRPr="00963D7B">
              <w:rPr>
                <w:b/>
                <w:sz w:val="20"/>
                <w:szCs w:val="20"/>
              </w:rPr>
              <w:t xml:space="preserve"> rôle</w:t>
            </w:r>
            <w:r w:rsidR="009860D0">
              <w:rPr>
                <w:b/>
                <w:sz w:val="20"/>
                <w:szCs w:val="20"/>
              </w:rPr>
              <w:t>s sociaux</w:t>
            </w:r>
          </w:p>
          <w:p w14:paraId="6B73E78B" w14:textId="77777777" w:rsidR="008255F5" w:rsidRPr="00963D7B" w:rsidRDefault="008255F5" w:rsidP="002500DB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AFLP5 : </w:t>
            </w:r>
            <w:r w:rsidRPr="002921F5">
              <w:rPr>
                <w:b/>
                <w:sz w:val="20"/>
                <w:szCs w:val="20"/>
              </w:rPr>
              <w:t>préparation</w:t>
            </w:r>
          </w:p>
          <w:p w14:paraId="5886B9B4" w14:textId="4D5D9D27" w:rsidR="009860D0" w:rsidRPr="00963D7B" w:rsidRDefault="008255F5" w:rsidP="009860D0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AFLP6 : </w:t>
            </w:r>
            <w:r w:rsidR="00743176" w:rsidRPr="005A08B1">
              <w:rPr>
                <w:b/>
                <w:sz w:val="20"/>
                <w:szCs w:val="20"/>
              </w:rPr>
              <w:t xml:space="preserve">Connaissances </w:t>
            </w:r>
            <w:r w:rsidR="00743176" w:rsidRPr="00980CCF">
              <w:rPr>
                <w:bCs/>
                <w:sz w:val="24"/>
                <w:szCs w:val="24"/>
              </w:rPr>
              <w:t>culturelles</w:t>
            </w:r>
            <w:r w:rsidR="009860D0" w:rsidRPr="009860D0">
              <w:rPr>
                <w:bCs/>
                <w:sz w:val="20"/>
                <w:szCs w:val="24"/>
              </w:rPr>
              <w:t xml:space="preserve"> de l’activité</w:t>
            </w:r>
            <w:r w:rsidR="009860D0" w:rsidRPr="00980CC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255F5" w14:paraId="6C38D092" w14:textId="77777777" w:rsidTr="002500DB">
        <w:trPr>
          <w:cantSplit/>
          <w:trHeight w:val="791"/>
        </w:trPr>
        <w:tc>
          <w:tcPr>
            <w:tcW w:w="1242" w:type="dxa"/>
            <w:shd w:val="clear" w:color="auto" w:fill="F2F2F2" w:themeFill="background1" w:themeFillShade="F2"/>
          </w:tcPr>
          <w:p w14:paraId="62B70008" w14:textId="77777777" w:rsidR="008255F5" w:rsidRPr="00963D7B" w:rsidRDefault="008255F5" w:rsidP="002500DB">
            <w:pPr>
              <w:spacing w:after="0"/>
              <w:jc w:val="center"/>
              <w:rPr>
                <w:b/>
                <w:iCs/>
                <w:sz w:val="20"/>
              </w:rPr>
            </w:pPr>
            <w:r w:rsidRPr="00963D7B">
              <w:rPr>
                <w:b/>
                <w:iCs/>
                <w:sz w:val="20"/>
              </w:rPr>
              <w:t>POINTS DE VIGILANCE</w:t>
            </w:r>
          </w:p>
        </w:tc>
        <w:tc>
          <w:tcPr>
            <w:tcW w:w="14601" w:type="dxa"/>
            <w:gridSpan w:val="3"/>
          </w:tcPr>
          <w:p w14:paraId="21892BC5" w14:textId="77777777" w:rsidR="008F3253" w:rsidRDefault="008F3253" w:rsidP="008F3253">
            <w:pPr>
              <w:spacing w:after="0"/>
            </w:pPr>
            <w:r>
              <w:t xml:space="preserve">- </w:t>
            </w:r>
            <w:r w:rsidRPr="004E5E84">
              <w:rPr>
                <w:b/>
                <w:color w:val="00B0F0"/>
              </w:rPr>
              <w:t>modalités de l’épreuve</w:t>
            </w:r>
            <w:r>
              <w:t> : absence de temps d’analyse entre 2 séquences de jeu = les épreuves proposées sont principalement des matchs « classiques » où le temps d’analyse n’est pas exploité ni même mentionné</w:t>
            </w:r>
          </w:p>
          <w:p w14:paraId="2660D785" w14:textId="77777777" w:rsidR="008255F5" w:rsidRPr="00FD5A80" w:rsidRDefault="008F3253" w:rsidP="00FD5A80">
            <w:pPr>
              <w:spacing w:after="0"/>
            </w:pPr>
            <w:r>
              <w:t xml:space="preserve">- </w:t>
            </w:r>
            <w:r w:rsidRPr="004E5E84">
              <w:rPr>
                <w:b/>
                <w:color w:val="00B0F0"/>
              </w:rPr>
              <w:t>AFLP1</w:t>
            </w:r>
            <w:r w:rsidRPr="00FD5A80">
              <w:t> </w:t>
            </w:r>
            <w:r>
              <w:t xml:space="preserve">: le gain des matchs qui n’est pas pris en compte comme curseur dans le degré de maîtrise </w:t>
            </w:r>
          </w:p>
        </w:tc>
      </w:tr>
    </w:tbl>
    <w:tbl>
      <w:tblPr>
        <w:tblStyle w:val="Grilledutableau1"/>
        <w:tblpPr w:leftFromText="141" w:rightFromText="141" w:vertAnchor="page" w:horzAnchor="margin" w:tblpY="5419"/>
        <w:tblW w:w="15838" w:type="dxa"/>
        <w:tblLayout w:type="fixed"/>
        <w:tblLook w:val="04A0" w:firstRow="1" w:lastRow="0" w:firstColumn="1" w:lastColumn="0" w:noHBand="0" w:noVBand="1"/>
      </w:tblPr>
      <w:tblGrid>
        <w:gridCol w:w="1208"/>
        <w:gridCol w:w="7040"/>
        <w:gridCol w:w="770"/>
        <w:gridCol w:w="550"/>
        <w:gridCol w:w="550"/>
        <w:gridCol w:w="990"/>
        <w:gridCol w:w="4730"/>
      </w:tblGrid>
      <w:tr w:rsidR="00E457A4" w14:paraId="458F70A5" w14:textId="39FEE923" w:rsidTr="00E457A4">
        <w:tc>
          <w:tcPr>
            <w:tcW w:w="8248" w:type="dxa"/>
            <w:gridSpan w:val="2"/>
            <w:shd w:val="clear" w:color="auto" w:fill="D9D9D9" w:themeFill="background1" w:themeFillShade="D9"/>
            <w:vAlign w:val="center"/>
          </w:tcPr>
          <w:p w14:paraId="5AA66746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CD0F8D6" w14:textId="091C5447" w:rsidR="00E457A4" w:rsidRPr="000E684D" w:rsidRDefault="00E457A4" w:rsidP="00E457A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7E70AA1" w14:textId="7F0CB441" w:rsidR="00E457A4" w:rsidRPr="000E684D" w:rsidRDefault="00E457A4" w:rsidP="00E457A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6E4E09B6" w14:textId="25197CCF" w:rsidR="00E457A4" w:rsidRDefault="00E457A4" w:rsidP="00E457A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39083FA" w14:textId="5DD5EABD" w:rsidR="00E457A4" w:rsidRPr="000E684D" w:rsidRDefault="00E457A4" w:rsidP="00E457A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À préciser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14:paraId="0342BBAF" w14:textId="357D62C8" w:rsidR="00E457A4" w:rsidRPr="000E684D" w:rsidRDefault="00E457A4" w:rsidP="00E457A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Éléments de réflexion</w:t>
            </w:r>
          </w:p>
        </w:tc>
      </w:tr>
      <w:tr w:rsidR="00E457A4" w14:paraId="013FF268" w14:textId="3226E57E" w:rsidTr="00AA05C7">
        <w:trPr>
          <w:trHeight w:val="348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2AE13F96" w14:textId="77777777" w:rsidR="00E457A4" w:rsidRPr="00C54D5E" w:rsidRDefault="00E457A4" w:rsidP="00E457A4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1E512893" w14:textId="77777777" w:rsidR="00E457A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EAE4327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E530050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60900B67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0EAE88" w14:textId="42D78181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93EE01B" w14:textId="7A23C3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589EFF5F" w14:textId="1C28214F" w:rsidTr="00AA05C7">
        <w:trPr>
          <w:trHeight w:val="250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0D431E48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62ED60DC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6304F4D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65F146B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05C3F9A5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2F57D5" w14:textId="11124A95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4A92A1B3" w14:textId="534A6C73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5DD19EED" w14:textId="76522D3C" w:rsidTr="00AA05C7">
        <w:trPr>
          <w:trHeight w:val="7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66B7C9AF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33C1272D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BC7690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1D3D9D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009FEB2E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F39CDB" w14:textId="4A4CD54E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499E5580" w14:textId="58498156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3EBCD46A" w14:textId="5A42EF55" w:rsidTr="00AA05C7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4DCAE3B5" w14:textId="77777777" w:rsidR="00E457A4" w:rsidRPr="00DF369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7B8E6906" w14:textId="77777777" w:rsidR="00E457A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L’épreuve comporte-t-elle plusieurs oppositions avec des rapports de force équilibrés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96B6555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81B69F6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3B976C35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B25652" w14:textId="120DEF06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54E475EE" w14:textId="1AD54485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6596D98F" w14:textId="5B8D146F" w:rsidTr="00AA05C7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6D2DBC60" w14:textId="77777777" w:rsidR="00E457A4" w:rsidRPr="00D01D87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0EA08EDD" w14:textId="77777777" w:rsidR="00E457A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L’épreuve propose-t-elle un temps d’analyse pour permettre un ajustement des stratégies </w:t>
            </w:r>
            <w:r w:rsidRPr="00D01D87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CE8CA77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9ABF9B1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305BA58C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92AD80" w14:textId="3B1F06FB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4E55D285" w14:textId="0EA63D84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6E3761DF" w14:textId="4D7A1D3F" w:rsidTr="00AA05C7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6725301E" w14:textId="77777777" w:rsidR="00E457A4" w:rsidRPr="00D01D87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18B3E1B1" w14:textId="77777777" w:rsidR="00E457A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DCB6FDC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08F22D0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380571D2" w14:textId="77777777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29624E" w14:textId="46EAC7F2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60C0C710" w14:textId="0816C8FE" w:rsidR="00E457A4" w:rsidRPr="00DF369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758FA5C4" w14:textId="5EA18E19" w:rsidTr="00E457A4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5DB29FD2" w14:textId="77777777" w:rsidR="00E457A4" w:rsidRPr="00D01D87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28AA2637" w14:textId="77777777" w:rsidR="00E457A4" w:rsidRPr="00D01D87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d’exploitation des situations favorables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44DCFDA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82BDB79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5CB1562E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7EC866" w14:textId="43EC5623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76D53463" w14:textId="67AD46B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16093C83" w14:textId="6C47BBF7" w:rsidTr="00E457A4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22D7573A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3A3A0BD6" w14:textId="77777777" w:rsidR="00E457A4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44EBB">
              <w:rPr>
                <w:rFonts w:cstheme="minorHAnsi"/>
                <w:sz w:val="18"/>
                <w:szCs w:val="18"/>
              </w:rPr>
              <w:t>Le gain des matches est-il un élément d’ajustement au sein des degrés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99863DD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63BFA97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C8A46EA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55861A" w14:textId="1A43F7E8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702D244" w14:textId="03DADCCE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3B505478" w14:textId="624944F5" w:rsidTr="00E457A4">
        <w:trPr>
          <w:trHeight w:val="295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33644" w14:textId="77777777" w:rsidR="00E457A4" w:rsidRPr="00D01D87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D640" w14:textId="77777777" w:rsidR="00E457A4" w:rsidRPr="007479DC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479DC">
              <w:rPr>
                <w:rFonts w:cstheme="minorHAnsi"/>
                <w:sz w:val="18"/>
                <w:szCs w:val="18"/>
              </w:rPr>
              <w:t xml:space="preserve">Les degrés de maitrise décrivent-ils la capacité de l’élève à utiliser des techniques d’attaque et de défense face à l’adversaire ?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4B22F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4A3E5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E8AE5C8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80CE77" w14:textId="1FCF4B5D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2FE74512" w14:textId="32068749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6168B20C" w14:textId="565183C0" w:rsidTr="00E457A4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22F8B10F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39AD4971" w14:textId="77777777" w:rsidR="00E457A4" w:rsidRPr="00D01D87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 dans sa persévérance dans la répétition de l’effort pour progresser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ECF3F13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FB36CFB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7D61B6B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D6F02B" w14:textId="619E0FEF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0385025" w14:textId="4B7D87FE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4A91A1D3" w14:textId="5B67446D" w:rsidTr="00E457A4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08836089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331B2A02" w14:textId="77777777" w:rsidR="00E457A4" w:rsidRPr="00D01D87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lors de la rencontre, de contrôle des émotions, de respect des règles et d’implication dans les réseaux sociaux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46AF0CC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5A4B3C6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186DF0A2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0D1CDC" w14:textId="3BE6984F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23B8F127" w14:textId="35C873BE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6E89C2E2" w14:textId="090819B2" w:rsidTr="00E457A4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4FF9EEE6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424EBFD3" w14:textId="77777777" w:rsidR="00E457A4" w:rsidRPr="00D01D87" w:rsidRDefault="00E457A4" w:rsidP="00E457A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préparation à l’effort attendu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A77E538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4A16417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5F78AF6A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199004" w14:textId="4CB539D6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6CE81CE" w14:textId="2018FFC9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57A4" w14:paraId="0D5B31D4" w14:textId="0B5681E6" w:rsidTr="00E457A4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3606541C" w14:textId="77777777" w:rsidR="00E457A4" w:rsidRPr="00D01D87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2BD58154" w14:textId="77777777" w:rsidR="00E457A4" w:rsidRPr="00AE0E46" w:rsidRDefault="00E457A4" w:rsidP="00E457A4">
            <w:pPr>
              <w:spacing w:after="0"/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 xml:space="preserve">Les éléments d’évaluation permettent-il d’établir un degré </w:t>
            </w:r>
            <w:r>
              <w:rPr>
                <w:sz w:val="18"/>
                <w:szCs w:val="18"/>
              </w:rPr>
              <w:t>de connaissance culturelle de l’activité support</w:t>
            </w:r>
            <w:r w:rsidRPr="00AE0E46">
              <w:rPr>
                <w:sz w:val="18"/>
                <w:szCs w:val="18"/>
              </w:rPr>
              <w:t xml:space="preserve">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F28C3A8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CA4-13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9E6FBEA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5CB98936" w14:textId="7777777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AFFDE3" w14:textId="33EE6C32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0" w:type="dxa"/>
          </w:tcPr>
          <w:p w14:paraId="10C201AA" w14:textId="41B6ED07" w:rsidR="00E457A4" w:rsidRDefault="00E457A4" w:rsidP="00E457A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E93421E" w14:textId="77777777" w:rsidR="00E2287A" w:rsidRDefault="001321AD" w:rsidP="007479DC">
      <w:pPr>
        <w:spacing w:after="0"/>
      </w:pPr>
      <w:r w:rsidRPr="001321AD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5C6A43" wp14:editId="5E6585CC">
            <wp:simplePos x="0" y="0"/>
            <wp:positionH relativeFrom="column">
              <wp:posOffset>9143172</wp:posOffset>
            </wp:positionH>
            <wp:positionV relativeFrom="paragraph">
              <wp:posOffset>-274320</wp:posOffset>
            </wp:positionV>
            <wp:extent cx="799934" cy="540689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5C7">
        <w:rPr>
          <w:noProof/>
          <w:lang w:eastAsia="fr-FR"/>
        </w:rPr>
        <w:pict w14:anchorId="77CACDE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4.55pt;margin-top:-1.75pt;width:714.95pt;height:24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" fillcolor="#b8cce4 [1300]" strokeweight=".5pt">
            <v:textbox>
              <w:txbxContent>
                <w:p w14:paraId="3A492AB9" w14:textId="77777777" w:rsidR="001321AD" w:rsidRPr="00C743FE" w:rsidRDefault="001321AD" w:rsidP="001321A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FICHE GUIDE POUR ANALYSER LA CONFORMITE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CAP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EF1D9A">
                    <w:rPr>
                      <w:b/>
                      <w:bCs/>
                      <w:sz w:val="24"/>
                      <w:szCs w:val="24"/>
                    </w:rPr>
                    <w:t xml:space="preserve"> CA4</w:t>
                  </w:r>
                </w:p>
              </w:txbxContent>
            </v:textbox>
          </v:shape>
        </w:pict>
      </w:r>
    </w:p>
    <w:sectPr w:rsidR="00E2287A" w:rsidSect="00132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1AD"/>
    <w:rsid w:val="000E6230"/>
    <w:rsid w:val="001321AD"/>
    <w:rsid w:val="00134C4C"/>
    <w:rsid w:val="00207666"/>
    <w:rsid w:val="00263E86"/>
    <w:rsid w:val="004A77AD"/>
    <w:rsid w:val="004E5E84"/>
    <w:rsid w:val="0061323E"/>
    <w:rsid w:val="00743176"/>
    <w:rsid w:val="007479DC"/>
    <w:rsid w:val="007E1935"/>
    <w:rsid w:val="008255F5"/>
    <w:rsid w:val="008F3253"/>
    <w:rsid w:val="009860D0"/>
    <w:rsid w:val="00AA05C7"/>
    <w:rsid w:val="00CA4337"/>
    <w:rsid w:val="00E2287A"/>
    <w:rsid w:val="00E457A4"/>
    <w:rsid w:val="00EF1D9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066D4"/>
  <w15:docId w15:val="{8C54EEA0-AF09-4B1E-B1E4-97E3BF7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A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Yannick Dartois</cp:lastModifiedBy>
  <cp:revision>12</cp:revision>
  <cp:lastPrinted>2021-05-26T23:48:00Z</cp:lastPrinted>
  <dcterms:created xsi:type="dcterms:W3CDTF">2020-11-21T09:09:00Z</dcterms:created>
  <dcterms:modified xsi:type="dcterms:W3CDTF">2021-06-24T12:30:00Z</dcterms:modified>
</cp:coreProperties>
</file>