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A01" w:rsidRDefault="00F760F2" w:rsidP="00F760F2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9057BD" wp14:editId="6382C0E7">
            <wp:simplePos x="0" y="0"/>
            <wp:positionH relativeFrom="margin">
              <wp:posOffset>2542540</wp:posOffset>
            </wp:positionH>
            <wp:positionV relativeFrom="margin">
              <wp:posOffset>361950</wp:posOffset>
            </wp:positionV>
            <wp:extent cx="4681220" cy="3486150"/>
            <wp:effectExtent l="0" t="0" r="508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LE TRAVAIL DE MEMOIRE</w:t>
      </w:r>
    </w:p>
    <w:p w:rsidR="00F760F2" w:rsidRDefault="00F760F2" w:rsidP="00F760F2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2C0D8A2" wp14:editId="2B439A0A">
            <wp:simplePos x="0" y="0"/>
            <wp:positionH relativeFrom="margin">
              <wp:posOffset>-200025</wp:posOffset>
            </wp:positionH>
            <wp:positionV relativeFrom="margin">
              <wp:posOffset>361950</wp:posOffset>
            </wp:positionV>
            <wp:extent cx="2523490" cy="461518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0F2" w:rsidRDefault="00F760F2" w:rsidP="00F760F2">
      <w:pPr>
        <w:ind w:firstLine="708"/>
        <w:jc w:val="both"/>
        <w:rPr>
          <w:b/>
          <w:u w:val="single"/>
        </w:rPr>
      </w:pPr>
      <w:r>
        <w:rPr>
          <w:b/>
          <w:u w:val="single"/>
        </w:rPr>
        <w:t>Photo de Florent Piton</w:t>
      </w:r>
    </w:p>
    <w:p w:rsidR="00F760F2" w:rsidRDefault="00F760F2" w:rsidP="00F760F2">
      <w:pPr>
        <w:jc w:val="both"/>
        <w:rPr>
          <w:b/>
          <w:u w:val="single"/>
        </w:rPr>
      </w:pPr>
    </w:p>
    <w:p w:rsidR="00F760F2" w:rsidRDefault="00F760F2" w:rsidP="00F760F2">
      <w:pPr>
        <w:jc w:val="both"/>
        <w:rPr>
          <w:b/>
          <w:u w:val="single"/>
        </w:rPr>
      </w:pPr>
    </w:p>
    <w:p w:rsidR="00F760F2" w:rsidRDefault="00F760F2" w:rsidP="00F760F2">
      <w:pPr>
        <w:jc w:val="both"/>
        <w:rPr>
          <w:b/>
          <w:u w:val="single"/>
        </w:rPr>
      </w:pPr>
    </w:p>
    <w:p w:rsidR="00F760F2" w:rsidRDefault="00584BF3" w:rsidP="00F760F2">
      <w:pPr>
        <w:jc w:val="both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A3CAB" wp14:editId="26866030">
                <wp:simplePos x="0" y="0"/>
                <wp:positionH relativeFrom="column">
                  <wp:posOffset>4591050</wp:posOffset>
                </wp:positionH>
                <wp:positionV relativeFrom="paragraph">
                  <wp:posOffset>172085</wp:posOffset>
                </wp:positionV>
                <wp:extent cx="2371725" cy="28860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BF3" w:rsidRPr="00584BF3" w:rsidRDefault="00F760F2" w:rsidP="00F760F2">
                            <w:pPr>
                              <w:pStyle w:val="NormalWeb"/>
                              <w:shd w:val="clear" w:color="auto" w:fill="FFFFFF"/>
                              <w:spacing w:before="120" w:beforeAutospacing="0" w:after="24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Le </w:t>
                            </w:r>
                            <w:r w:rsidRPr="00584BF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Mémorial du génocide de Kigali</w:t>
                            </w:r>
                            <w:r w:rsidR="00584BF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est un lieu de mémoire situé à </w:t>
                            </w:r>
                            <w:hyperlink r:id="rId6" w:tooltip="Kigali" w:history="1">
                              <w:r w:rsidRPr="00584BF3">
                                <w:rPr>
                                  <w:rStyle w:val="Lienhypertexte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  <w:t>Kigali</w:t>
                              </w:r>
                            </w:hyperlink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, au </w:t>
                            </w:r>
                            <w:hyperlink r:id="rId7" w:tooltip="Rwanda" w:history="1">
                              <w:r w:rsidRPr="00584BF3">
                                <w:rPr>
                                  <w:rStyle w:val="Lienhypertexte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  <w:t>Rwanda</w:t>
                              </w:r>
                            </w:hyperlink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, établi pour commémorer le </w:t>
                            </w:r>
                            <w:hyperlink r:id="rId8" w:history="1">
                              <w:r w:rsidRPr="00584BF3">
                                <w:rPr>
                                  <w:rStyle w:val="Lienhypertexte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  <w:t>génocide des Tutsis au Rwanda</w:t>
                              </w:r>
                            </w:hyperlink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 xml:space="preserve"> de 1994. </w:t>
                            </w:r>
                          </w:p>
                          <w:p w:rsidR="00F760F2" w:rsidRPr="00584BF3" w:rsidRDefault="00F760F2" w:rsidP="00F760F2">
                            <w:pPr>
                              <w:pStyle w:val="NormalWeb"/>
                              <w:shd w:val="clear" w:color="auto" w:fill="FFFFFF"/>
                              <w:spacing w:before="120" w:beforeAutospacing="0" w:after="24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Les restes de plus de 250 000 personnes</w:t>
                            </w:r>
                            <w:hyperlink r:id="rId9" w:anchor="cite_note-1" w:history="1">
                              <w:r w:rsidRPr="00584BF3">
                                <w:rPr>
                                  <w:rStyle w:val="cite-bracket"/>
                                  <w:rFonts w:asciiTheme="minorHAnsi" w:hAnsiTheme="minorHAnsi" w:cstheme="minorHAnsi"/>
                                  <w:sz w:val="2"/>
                                  <w:szCs w:val="2"/>
                                  <w:vertAlign w:val="superscript"/>
                                </w:rPr>
                                <w:t>[</w:t>
                              </w:r>
                              <w:r w:rsidRPr="00584BF3">
                                <w:rPr>
                                  <w:rStyle w:val="Lienhypertexte"/>
                                  <w:rFonts w:asciiTheme="minorHAnsi" w:hAnsiTheme="minorHAnsi" w:cstheme="minorHAnsi"/>
                                  <w:color w:val="auto"/>
                                  <w:sz w:val="19"/>
                                  <w:szCs w:val="19"/>
                                  <w:u w:val="none"/>
                                  <w:vertAlign w:val="superscript"/>
                                </w:rPr>
                                <w:t>1</w:t>
                              </w:r>
                              <w:r w:rsidRPr="00584BF3">
                                <w:rPr>
                                  <w:rStyle w:val="cite-bracket"/>
                                  <w:rFonts w:asciiTheme="minorHAnsi" w:hAnsiTheme="minorHAnsi" w:cstheme="minorHAnsi"/>
                                  <w:sz w:val="2"/>
                                  <w:szCs w:val="2"/>
                                  <w:vertAlign w:val="superscript"/>
                                </w:rPr>
                                <w:t>]</w:t>
                              </w:r>
                            </w:hyperlink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 y sont inhumés.</w:t>
                            </w:r>
                          </w:p>
                          <w:p w:rsidR="00F760F2" w:rsidRPr="00584BF3" w:rsidRDefault="00F760F2" w:rsidP="00F760F2">
                            <w:pPr>
                              <w:pStyle w:val="NormalWeb"/>
                              <w:shd w:val="clear" w:color="auto" w:fill="FFFFFF"/>
                              <w:spacing w:before="120" w:beforeAutospacing="0" w:after="24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84BF3">
                              <w:rPr>
                                <w:rFonts w:asciiTheme="minorHAnsi" w:hAnsiTheme="minorHAnsi" w:cstheme="minorHAnsi"/>
                              </w:rPr>
                              <w:t>Le mémorial comprend un centre d'accueil pour les étudiants et tous ceux qui souhaitent comprendre les événements qui ont conduit au génocide de 1994 contre les Tutsis.</w:t>
                            </w:r>
                          </w:p>
                          <w:p w:rsidR="00F760F2" w:rsidRPr="00584BF3" w:rsidRDefault="00F760F2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A3CA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61.5pt;margin-top:13.55pt;width:186.75pt;height:22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" fillcolor="white [3201]" strokeweight=".5pt">
                <v:textbox>
                  <w:txbxContent>
                    <w:p w:rsidR="00584BF3" w:rsidRPr="00584BF3" w:rsidRDefault="00F760F2" w:rsidP="00F760F2">
                      <w:pPr>
                        <w:pStyle w:val="NormalWeb"/>
                        <w:shd w:val="clear" w:color="auto" w:fill="FFFFFF"/>
                        <w:spacing w:before="120" w:beforeAutospacing="0" w:after="240" w:afterAutospacing="0"/>
                        <w:rPr>
                          <w:rFonts w:asciiTheme="minorHAnsi" w:hAnsiTheme="minorHAnsi" w:cstheme="minorHAnsi"/>
                        </w:rPr>
                      </w:pPr>
                      <w:r w:rsidRPr="00584BF3">
                        <w:rPr>
                          <w:rFonts w:asciiTheme="minorHAnsi" w:hAnsiTheme="minorHAnsi" w:cstheme="minorHAnsi"/>
                        </w:rPr>
                        <w:t>Le </w:t>
                      </w:r>
                      <w:r w:rsidRPr="00584BF3">
                        <w:rPr>
                          <w:rFonts w:asciiTheme="minorHAnsi" w:hAnsiTheme="minorHAnsi" w:cstheme="minorHAnsi"/>
                          <w:b/>
                          <w:bCs/>
                        </w:rPr>
                        <w:t>Mémorial du génocide de Kigali</w:t>
                      </w:r>
                      <w:r w:rsidR="00584BF3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584BF3">
                        <w:rPr>
                          <w:rFonts w:asciiTheme="minorHAnsi" w:hAnsiTheme="minorHAnsi" w:cstheme="minorHAnsi"/>
                        </w:rPr>
                        <w:t>est un lieu de mémoire situé à </w:t>
                      </w:r>
                      <w:hyperlink r:id="rId10" w:tooltip="Kigali" w:history="1">
                        <w:r w:rsidRPr="00584BF3">
                          <w:rPr>
                            <w:rStyle w:val="Lienhypertexte"/>
                            <w:rFonts w:asciiTheme="minorHAnsi" w:hAnsiTheme="minorHAnsi" w:cstheme="minorHAnsi"/>
                            <w:color w:val="auto"/>
                            <w:u w:val="none"/>
                          </w:rPr>
                          <w:t>Kigali</w:t>
                        </w:r>
                      </w:hyperlink>
                      <w:r w:rsidRPr="00584BF3">
                        <w:rPr>
                          <w:rFonts w:asciiTheme="minorHAnsi" w:hAnsiTheme="minorHAnsi" w:cstheme="minorHAnsi"/>
                        </w:rPr>
                        <w:t>, au </w:t>
                      </w:r>
                      <w:hyperlink r:id="rId11" w:tooltip="Rwanda" w:history="1">
                        <w:r w:rsidRPr="00584BF3">
                          <w:rPr>
                            <w:rStyle w:val="Lienhypertexte"/>
                            <w:rFonts w:asciiTheme="minorHAnsi" w:hAnsiTheme="minorHAnsi" w:cstheme="minorHAnsi"/>
                            <w:color w:val="auto"/>
                            <w:u w:val="none"/>
                          </w:rPr>
                          <w:t>Rwanda</w:t>
                        </w:r>
                      </w:hyperlink>
                      <w:r w:rsidRPr="00584BF3">
                        <w:rPr>
                          <w:rFonts w:asciiTheme="minorHAnsi" w:hAnsiTheme="minorHAnsi" w:cstheme="minorHAnsi"/>
                        </w:rPr>
                        <w:t>, établi pour commémorer le </w:t>
                      </w:r>
                      <w:hyperlink r:id="rId12" w:history="1">
                        <w:r w:rsidRPr="00584BF3">
                          <w:rPr>
                            <w:rStyle w:val="Lienhypertexte"/>
                            <w:rFonts w:asciiTheme="minorHAnsi" w:hAnsiTheme="minorHAnsi" w:cstheme="minorHAnsi"/>
                            <w:color w:val="auto"/>
                            <w:u w:val="none"/>
                          </w:rPr>
                          <w:t>génocide des Tutsis au Rwanda</w:t>
                        </w:r>
                      </w:hyperlink>
                      <w:r w:rsidRPr="00584BF3">
                        <w:rPr>
                          <w:rFonts w:asciiTheme="minorHAnsi" w:hAnsiTheme="minorHAnsi" w:cstheme="minorHAnsi"/>
                        </w:rPr>
                        <w:t xml:space="preserve"> de 1994. </w:t>
                      </w:r>
                    </w:p>
                    <w:p w:rsidR="00F760F2" w:rsidRPr="00584BF3" w:rsidRDefault="00F760F2" w:rsidP="00F760F2">
                      <w:pPr>
                        <w:pStyle w:val="NormalWeb"/>
                        <w:shd w:val="clear" w:color="auto" w:fill="FFFFFF"/>
                        <w:spacing w:before="120" w:beforeAutospacing="0" w:after="240" w:afterAutospacing="0"/>
                        <w:rPr>
                          <w:rFonts w:asciiTheme="minorHAnsi" w:hAnsiTheme="minorHAnsi" w:cstheme="minorHAnsi"/>
                        </w:rPr>
                      </w:pPr>
                      <w:r w:rsidRPr="00584BF3">
                        <w:rPr>
                          <w:rFonts w:asciiTheme="minorHAnsi" w:hAnsiTheme="minorHAnsi" w:cstheme="minorHAnsi"/>
                        </w:rPr>
                        <w:t>Les restes de plus de 250 000 personnes</w:t>
                      </w:r>
                      <w:hyperlink r:id="rId13" w:anchor="cite_note-1" w:history="1">
                        <w:r w:rsidRPr="00584BF3">
                          <w:rPr>
                            <w:rStyle w:val="cite-bracket"/>
                            <w:rFonts w:asciiTheme="minorHAnsi" w:hAnsiTheme="minorHAnsi" w:cstheme="minorHAnsi"/>
                            <w:sz w:val="2"/>
                            <w:szCs w:val="2"/>
                            <w:vertAlign w:val="superscript"/>
                          </w:rPr>
                          <w:t>[</w:t>
                        </w:r>
                        <w:r w:rsidRPr="00584BF3">
                          <w:rPr>
                            <w:rStyle w:val="Lienhypertexte"/>
                            <w:rFonts w:asciiTheme="minorHAnsi" w:hAnsiTheme="minorHAnsi" w:cstheme="minorHAnsi"/>
                            <w:color w:val="auto"/>
                            <w:sz w:val="19"/>
                            <w:szCs w:val="19"/>
                            <w:u w:val="none"/>
                            <w:vertAlign w:val="superscript"/>
                          </w:rPr>
                          <w:t>1</w:t>
                        </w:r>
                        <w:r w:rsidRPr="00584BF3">
                          <w:rPr>
                            <w:rStyle w:val="cite-bracket"/>
                            <w:rFonts w:asciiTheme="minorHAnsi" w:hAnsiTheme="minorHAnsi" w:cstheme="minorHAnsi"/>
                            <w:sz w:val="2"/>
                            <w:szCs w:val="2"/>
                            <w:vertAlign w:val="superscript"/>
                          </w:rPr>
                          <w:t>]</w:t>
                        </w:r>
                      </w:hyperlink>
                      <w:r w:rsidRPr="00584BF3">
                        <w:rPr>
                          <w:rFonts w:asciiTheme="minorHAnsi" w:hAnsiTheme="minorHAnsi" w:cstheme="minorHAnsi"/>
                        </w:rPr>
                        <w:t> y sont inhumés.</w:t>
                      </w:r>
                    </w:p>
                    <w:p w:rsidR="00F760F2" w:rsidRPr="00584BF3" w:rsidRDefault="00F760F2" w:rsidP="00F760F2">
                      <w:pPr>
                        <w:pStyle w:val="NormalWeb"/>
                        <w:shd w:val="clear" w:color="auto" w:fill="FFFFFF"/>
                        <w:spacing w:before="120" w:beforeAutospacing="0" w:after="240" w:afterAutospacing="0"/>
                        <w:rPr>
                          <w:rFonts w:asciiTheme="minorHAnsi" w:hAnsiTheme="minorHAnsi" w:cstheme="minorHAnsi"/>
                        </w:rPr>
                      </w:pPr>
                      <w:r w:rsidRPr="00584BF3">
                        <w:rPr>
                          <w:rFonts w:asciiTheme="minorHAnsi" w:hAnsiTheme="minorHAnsi" w:cstheme="minorHAnsi"/>
                        </w:rPr>
                        <w:t>Le mémorial comprend un centre d'accueil pour les étudiants et tous ceux qui souhaitent comprendre les événements qui ont conduit au génocide de 1994 contre les Tutsis.</w:t>
                      </w:r>
                    </w:p>
                    <w:p w:rsidR="00F760F2" w:rsidRPr="00584BF3" w:rsidRDefault="00F760F2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0F2">
        <w:rPr>
          <w:b/>
          <w:u w:val="single"/>
        </w:rPr>
        <w:t>Manuel Hachette 2016</w:t>
      </w:r>
      <w:r w:rsidR="00F760F2" w:rsidRPr="00F760F2">
        <w:rPr>
          <w:noProof/>
          <w:lang w:eastAsia="fr-FR"/>
        </w:rPr>
        <w:t xml:space="preserve"> </w:t>
      </w:r>
    </w:p>
    <w:p w:rsidR="00F760F2" w:rsidRDefault="00F760F2" w:rsidP="00F760F2">
      <w:pPr>
        <w:pStyle w:val="NormalWeb"/>
      </w:pPr>
      <w:r>
        <w:rPr>
          <w:noProof/>
        </w:rPr>
        <w:drawing>
          <wp:inline distT="0" distB="0" distL="0" distR="0">
            <wp:extent cx="4362450" cy="2472055"/>
            <wp:effectExtent l="0" t="0" r="0" b="4445"/>
            <wp:docPr id="3" name="Image 3" descr="C:\Users\Magali\Pictures\rw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li\Pictures\rwan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02" cy="24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F3" w:rsidRDefault="00584BF3" w:rsidP="00F760F2">
      <w:pPr>
        <w:pStyle w:val="NormalWeb"/>
      </w:pPr>
      <w:r>
        <w:rPr>
          <w:rFonts w:ascii="Helvetica" w:hAnsi="Helvetica"/>
          <w:color w:val="222222"/>
          <w:sz w:val="27"/>
          <w:szCs w:val="27"/>
          <w:shd w:val="clear" w:color="auto" w:fill="FFFFFF"/>
        </w:rPr>
        <w:t>La politique de mémoire alors retenue vise clairement trois objectifs : reconstruire l’unité nationale, lutter contre l’idéologie du génocide et améliorer l’image du pays largement noircie à la suite des massacres médiatisés.</w:t>
      </w:r>
    </w:p>
    <w:p w:rsidR="00584BF3" w:rsidRDefault="00584BF3" w:rsidP="00F760F2">
      <w:pPr>
        <w:pStyle w:val="NormalWeb"/>
      </w:pPr>
      <w:r>
        <w:lastRenderedPageBreak/>
        <w:t xml:space="preserve">Ecoutez la chanson « Petit pays » de </w:t>
      </w:r>
      <w:proofErr w:type="spellStart"/>
      <w:r>
        <w:t>Gael</w:t>
      </w:r>
      <w:proofErr w:type="spellEnd"/>
      <w:r>
        <w:t xml:space="preserve"> Faye </w:t>
      </w:r>
    </w:p>
    <w:p w:rsidR="00584BF3" w:rsidRDefault="00584BF3" w:rsidP="00F760F2">
      <w:pPr>
        <w:pStyle w:val="NormalWeb"/>
      </w:pPr>
      <w:r>
        <w:t xml:space="preserve">» </w:t>
      </w:r>
      <w:hyperlink r:id="rId15" w:history="1">
        <w:r w:rsidRPr="0048575F">
          <w:rPr>
            <w:rStyle w:val="Lienhypertexte"/>
          </w:rPr>
          <w:t>https://www.youtube.com/watch?v=XTF2pwr8lYk</w:t>
        </w:r>
      </w:hyperlink>
    </w:p>
    <w:p w:rsidR="00584BF3" w:rsidRDefault="00584BF3" w:rsidP="00F760F2">
      <w:pPr>
        <w:pStyle w:val="NormalWeb"/>
      </w:pPr>
      <w:r>
        <w:t xml:space="preserve"> Ecoutez attentivement les paroles, regardez sérieusement les images.</w:t>
      </w:r>
    </w:p>
    <w:p w:rsidR="00584BF3" w:rsidRDefault="005518A0" w:rsidP="00F760F2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74869B" wp14:editId="6D5C92F1">
            <wp:simplePos x="0" y="0"/>
            <wp:positionH relativeFrom="margin">
              <wp:posOffset>3404235</wp:posOffset>
            </wp:positionH>
            <wp:positionV relativeFrom="margin">
              <wp:posOffset>1762125</wp:posOffset>
            </wp:positionV>
            <wp:extent cx="3604260" cy="28765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C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B00CE" wp14:editId="207AC26B">
                <wp:simplePos x="0" y="0"/>
                <wp:positionH relativeFrom="column">
                  <wp:posOffset>4038600</wp:posOffset>
                </wp:positionH>
                <wp:positionV relativeFrom="paragraph">
                  <wp:posOffset>150495</wp:posOffset>
                </wp:positionV>
                <wp:extent cx="3114675" cy="4095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C1B" w:rsidRDefault="00DF1C1B">
                            <w:r>
                              <w:t>Exposition du mémorial de la Shoah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B00CE" id="Zone de texte 6" o:spid="_x0000_s1027" type="#_x0000_t202" style="position:absolute;margin-left:318pt;margin-top:11.85pt;width:245.2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" fillcolor="white [3201]" strokeweight=".5pt">
                <v:textbox>
                  <w:txbxContent>
                    <w:p w:rsidR="00DF1C1B" w:rsidRDefault="00DF1C1B">
                      <w:r>
                        <w:t>Exposition du mémorial de la Shoah</w:t>
                      </w:r>
                    </w:p>
                  </w:txbxContent>
                </v:textbox>
              </v:shape>
            </w:pict>
          </mc:Fallback>
        </mc:AlternateContent>
      </w:r>
      <w:r w:rsidR="00584BF3">
        <w:rPr>
          <w:noProof/>
        </w:rPr>
        <w:drawing>
          <wp:inline distT="0" distB="0" distL="0" distR="0" wp14:anchorId="208145B6" wp14:editId="1A5C0B7F">
            <wp:extent cx="3276600" cy="3116911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9969" cy="312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A0" w:rsidRDefault="00BA35B1" w:rsidP="005518A0">
      <w:pPr>
        <w:pStyle w:val="NormalWeb"/>
      </w:pPr>
      <w:r>
        <w:rPr>
          <w:noProof/>
        </w:rPr>
        <w:drawing>
          <wp:inline distT="0" distB="0" distL="0" distR="0" wp14:anchorId="59ADC50A" wp14:editId="7A3CE3B8">
            <wp:extent cx="5695950" cy="381291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9704" cy="38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5B1">
        <w:t xml:space="preserve"> https://journals.openedition.org/temoigner/7744?lang=en</w:t>
      </w:r>
    </w:p>
    <w:p w:rsidR="005518A0" w:rsidRDefault="005518A0" w:rsidP="005518A0">
      <w:pPr>
        <w:pStyle w:val="NormalWeb"/>
      </w:pPr>
    </w:p>
    <w:p w:rsidR="00584BF3" w:rsidRPr="00794067" w:rsidRDefault="00794067" w:rsidP="00F760F2">
      <w:pPr>
        <w:pStyle w:val="NormalWeb"/>
        <w:rPr>
          <w:rFonts w:asciiTheme="minorHAnsi" w:hAnsiTheme="minorHAnsi" w:cstheme="minorHAnsi"/>
          <w:b/>
          <w:u w:val="single"/>
        </w:rPr>
      </w:pPr>
      <w:r w:rsidRPr="00794067">
        <w:rPr>
          <w:rFonts w:asciiTheme="minorHAnsi" w:hAnsiTheme="minorHAnsi" w:cstheme="minorHAnsi"/>
          <w:b/>
          <w:u w:val="single"/>
        </w:rPr>
        <w:lastRenderedPageBreak/>
        <w:t>COUP DE POUCE</w:t>
      </w:r>
    </w:p>
    <w:p w:rsidR="00584BF3" w:rsidRDefault="00794067" w:rsidP="00F760F2">
      <w:pPr>
        <w:pStyle w:val="NormalWeb"/>
      </w:pPr>
      <w:r>
        <w:t xml:space="preserve">Expliquer les différents moyens pour </w:t>
      </w:r>
      <w:r w:rsidR="005518A0">
        <w:t>témoigner</w:t>
      </w:r>
    </w:p>
    <w:p w:rsidR="005518A0" w:rsidRDefault="005518A0" w:rsidP="00F760F2">
      <w:pPr>
        <w:pStyle w:val="NormalWeb"/>
      </w:pPr>
      <w:r>
        <w:t xml:space="preserve">Travail sur la chanson : Pourquoi </w:t>
      </w:r>
      <w:proofErr w:type="spellStart"/>
      <w:r>
        <w:t>Gael</w:t>
      </w:r>
      <w:proofErr w:type="spellEnd"/>
      <w:r>
        <w:t xml:space="preserve"> Faye </w:t>
      </w:r>
      <w:r w:rsidR="00584BF3">
        <w:t xml:space="preserve">parle-t-il d’un « maudit mois d’avril » ? </w:t>
      </w:r>
    </w:p>
    <w:p w:rsidR="005518A0" w:rsidRDefault="005518A0" w:rsidP="005518A0">
      <w:pPr>
        <w:pStyle w:val="NormalWeb"/>
        <w:ind w:left="1416"/>
      </w:pPr>
      <w:r>
        <w:t xml:space="preserve">               Pourquoi</w:t>
      </w:r>
      <w:r w:rsidR="00584BF3">
        <w:t xml:space="preserve"> dit</w:t>
      </w:r>
      <w:r>
        <w:t>-</w:t>
      </w:r>
      <w:proofErr w:type="gramStart"/>
      <w:r>
        <w:t xml:space="preserve">il </w:t>
      </w:r>
      <w:r w:rsidR="00584BF3">
        <w:t xml:space="preserve"> qu’il</w:t>
      </w:r>
      <w:proofErr w:type="gramEnd"/>
      <w:r w:rsidR="00584BF3">
        <w:t xml:space="preserve"> « fallait reconstruire tout le pays sur des ossements, des fosses communes et </w:t>
      </w:r>
      <w:r>
        <w:t>des cauchemars incessants » ? –</w:t>
      </w:r>
    </w:p>
    <w:p w:rsidR="00584BF3" w:rsidRDefault="005518A0" w:rsidP="005518A0">
      <w:pPr>
        <w:pStyle w:val="NormalWeb"/>
        <w:ind w:left="1416" w:firstLine="708"/>
      </w:pPr>
      <w:r>
        <w:t xml:space="preserve">    Pourquoi </w:t>
      </w:r>
      <w:proofErr w:type="spellStart"/>
      <w:r>
        <w:t>Gael</w:t>
      </w:r>
      <w:proofErr w:type="spellEnd"/>
      <w:r>
        <w:t xml:space="preserve"> Faye évoque-t-</w:t>
      </w:r>
      <w:proofErr w:type="gramStart"/>
      <w:r>
        <w:t xml:space="preserve">il </w:t>
      </w:r>
      <w:r w:rsidR="00584BF3">
        <w:t xml:space="preserve"> son</w:t>
      </w:r>
      <w:proofErr w:type="gramEnd"/>
      <w:r w:rsidR="00584BF3">
        <w:t xml:space="preserve"> besoin d’écrire ? Comment </w:t>
      </w:r>
      <w:proofErr w:type="spellStart"/>
      <w:r w:rsidR="00584BF3">
        <w:t>a-t-il</w:t>
      </w:r>
      <w:proofErr w:type="spellEnd"/>
      <w:r w:rsidR="00584BF3">
        <w:t xml:space="preserve"> vécu cet évènement ?</w:t>
      </w:r>
    </w:p>
    <w:p w:rsidR="00DE5422" w:rsidRDefault="00DE5422" w:rsidP="00DE5422">
      <w:pPr>
        <w:pStyle w:val="NormalWeb"/>
      </w:pPr>
      <w:r>
        <w:t>Que montre les dernières photos ?</w:t>
      </w:r>
    </w:p>
    <w:p w:rsidR="002A14FC" w:rsidRDefault="002A14FC" w:rsidP="00DE5422">
      <w:pPr>
        <w:pStyle w:val="NormalWeb"/>
      </w:pPr>
      <w:r>
        <w:t>Quel témoignage apporte l’arbre généalogique d’Edith ?</w:t>
      </w:r>
      <w:bookmarkStart w:id="0" w:name="_GoBack"/>
      <w:bookmarkEnd w:id="0"/>
    </w:p>
    <w:p w:rsidR="00F760F2" w:rsidRPr="00F760F2" w:rsidRDefault="00F760F2" w:rsidP="00F760F2">
      <w:pPr>
        <w:jc w:val="both"/>
        <w:rPr>
          <w:b/>
          <w:u w:val="single"/>
        </w:rPr>
      </w:pPr>
    </w:p>
    <w:sectPr w:rsidR="00F760F2" w:rsidRPr="00F760F2" w:rsidSect="00F760F2">
      <w:pgSz w:w="12240" w:h="15840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F2"/>
    <w:rsid w:val="002A14FC"/>
    <w:rsid w:val="002C3703"/>
    <w:rsid w:val="005518A0"/>
    <w:rsid w:val="00584BF3"/>
    <w:rsid w:val="00646F21"/>
    <w:rsid w:val="006B7A7F"/>
    <w:rsid w:val="00794067"/>
    <w:rsid w:val="00A2170F"/>
    <w:rsid w:val="00AA6A01"/>
    <w:rsid w:val="00BA35B1"/>
    <w:rsid w:val="00DE5422"/>
    <w:rsid w:val="00DF1C1B"/>
    <w:rsid w:val="00F7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9361"/>
  <w15:chartTrackingRefBased/>
  <w15:docId w15:val="{A2E3B9E2-B26B-4F6E-873D-52642CE5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760F2"/>
    <w:rPr>
      <w:color w:val="0000FF"/>
      <w:u w:val="single"/>
    </w:rPr>
  </w:style>
  <w:style w:type="character" w:customStyle="1" w:styleId="lang-en">
    <w:name w:val="lang-en"/>
    <w:basedOn w:val="Policepardfaut"/>
    <w:rsid w:val="00F760F2"/>
  </w:style>
  <w:style w:type="character" w:customStyle="1" w:styleId="cite-bracket">
    <w:name w:val="cite-bracket"/>
    <w:basedOn w:val="Policepardfaut"/>
    <w:rsid w:val="00F76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G%C3%A9nocide_des_Tutsi_au_Rwanda" TargetMode="External"/><Relationship Id="rId13" Type="http://schemas.openxmlformats.org/officeDocument/2006/relationships/hyperlink" Target="https://fr.wikipedia.org/wiki/M%C3%A9morial_du_g%C3%A9nocide_de_Kigali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Rwanda" TargetMode="External"/><Relationship Id="rId12" Type="http://schemas.openxmlformats.org/officeDocument/2006/relationships/hyperlink" Target="https://fr.wikipedia.org/wiki/G%C3%A9nocide_des_Tutsi_au_Rwanda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Kigali" TargetMode="External"/><Relationship Id="rId11" Type="http://schemas.openxmlformats.org/officeDocument/2006/relationships/hyperlink" Target="https://fr.wikipedia.org/wiki/Rwand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XTF2pwr8lYk" TargetMode="External"/><Relationship Id="rId10" Type="http://schemas.openxmlformats.org/officeDocument/2006/relationships/hyperlink" Target="https://fr.wikipedia.org/wiki/Kigali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fr.wikipedia.org/wiki/M%C3%A9morial_du_g%C3%A9nocide_de_Kigali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</dc:creator>
  <cp:keywords/>
  <dc:description/>
  <cp:lastModifiedBy>Magali</cp:lastModifiedBy>
  <cp:revision>6</cp:revision>
  <dcterms:created xsi:type="dcterms:W3CDTF">2026-04-08T15:00:00Z</dcterms:created>
  <dcterms:modified xsi:type="dcterms:W3CDTF">2026-04-08T15:52:00Z</dcterms:modified>
</cp:coreProperties>
</file>