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86" w:rsidRDefault="006C59CD" w:rsidP="006C59CD">
      <w:pPr>
        <w:spacing w:after="0"/>
        <w:jc w:val="center"/>
        <w:rPr>
          <w:sz w:val="32"/>
          <w:szCs w:val="32"/>
        </w:rPr>
      </w:pPr>
      <w:r w:rsidRPr="006C59CD">
        <w:rPr>
          <w:sz w:val="32"/>
          <w:szCs w:val="32"/>
        </w:rPr>
        <w:t xml:space="preserve">Identification </w:t>
      </w:r>
      <w:r w:rsidR="00941A86">
        <w:rPr>
          <w:sz w:val="32"/>
          <w:szCs w:val="32"/>
        </w:rPr>
        <w:t>de micro-organismes</w:t>
      </w:r>
      <w:r w:rsidRPr="006C59CD">
        <w:rPr>
          <w:sz w:val="32"/>
          <w:szCs w:val="32"/>
        </w:rPr>
        <w:t xml:space="preserve"> par </w:t>
      </w:r>
      <w:r>
        <w:rPr>
          <w:sz w:val="32"/>
          <w:szCs w:val="32"/>
        </w:rPr>
        <w:t>spectrométrie de masse </w:t>
      </w:r>
    </w:p>
    <w:p w:rsidR="006C59CD" w:rsidRDefault="006C59CD" w:rsidP="006C59CD">
      <w:pPr>
        <w:spacing w:after="0"/>
        <w:jc w:val="center"/>
        <w:rPr>
          <w:szCs w:val="24"/>
        </w:rPr>
      </w:pPr>
      <w:r w:rsidRPr="006C59CD">
        <w:rPr>
          <w:sz w:val="32"/>
          <w:szCs w:val="32"/>
        </w:rPr>
        <w:t>MALDI-TOF</w:t>
      </w:r>
      <w:r>
        <w:rPr>
          <w:sz w:val="32"/>
          <w:szCs w:val="32"/>
        </w:rPr>
        <w:t xml:space="preserve"> MS</w:t>
      </w:r>
      <w:r w:rsidR="00941A86">
        <w:rPr>
          <w:sz w:val="32"/>
          <w:szCs w:val="32"/>
        </w:rPr>
        <w:t xml:space="preserve"> </w:t>
      </w:r>
      <w:r>
        <w:rPr>
          <w:szCs w:val="24"/>
        </w:rPr>
        <w:t>(</w:t>
      </w:r>
      <w:proofErr w:type="spellStart"/>
      <w:r w:rsidRPr="006C59CD">
        <w:rPr>
          <w:szCs w:val="24"/>
        </w:rPr>
        <w:t>Matrix</w:t>
      </w:r>
      <w:proofErr w:type="spellEnd"/>
      <w:r w:rsidRPr="006C59CD">
        <w:rPr>
          <w:szCs w:val="24"/>
        </w:rPr>
        <w:t>-</w:t>
      </w:r>
      <w:proofErr w:type="spellStart"/>
      <w:r w:rsidRPr="006C59CD">
        <w:rPr>
          <w:szCs w:val="24"/>
        </w:rPr>
        <w:t>Assisted</w:t>
      </w:r>
      <w:proofErr w:type="spellEnd"/>
      <w:r w:rsidRPr="006C59CD">
        <w:rPr>
          <w:szCs w:val="24"/>
        </w:rPr>
        <w:t xml:space="preserve"> Laser </w:t>
      </w:r>
      <w:proofErr w:type="spellStart"/>
      <w:r w:rsidRPr="006C59CD">
        <w:rPr>
          <w:szCs w:val="24"/>
        </w:rPr>
        <w:t>Desorption</w:t>
      </w:r>
      <w:proofErr w:type="spellEnd"/>
      <w:r w:rsidRPr="006C59CD">
        <w:rPr>
          <w:szCs w:val="24"/>
        </w:rPr>
        <w:t xml:space="preserve">/Ionisation Time Of Flight Mass </w:t>
      </w:r>
      <w:proofErr w:type="spellStart"/>
      <w:r w:rsidRPr="006C59CD">
        <w:rPr>
          <w:szCs w:val="24"/>
        </w:rPr>
        <w:t>Spectrometry</w:t>
      </w:r>
      <w:proofErr w:type="spellEnd"/>
      <w:r>
        <w:rPr>
          <w:szCs w:val="24"/>
        </w:rPr>
        <w:t>)</w:t>
      </w:r>
    </w:p>
    <w:p w:rsidR="00160D87" w:rsidRPr="006C59CD" w:rsidRDefault="00160D87" w:rsidP="006C59CD">
      <w:pPr>
        <w:spacing w:after="0"/>
        <w:jc w:val="center"/>
        <w:rPr>
          <w:szCs w:val="24"/>
        </w:rPr>
      </w:pPr>
    </w:p>
    <w:p w:rsidR="00AA4143" w:rsidRDefault="008A0562" w:rsidP="00770ED6">
      <w:pPr>
        <w:jc w:val="both"/>
      </w:pPr>
      <w:r>
        <w:rPr>
          <w:noProof/>
          <w:lang w:eastAsia="fr-FR"/>
        </w:rPr>
        <w:pict>
          <v:rect id="Rectangle 2" o:spid="_x0000_s1026" style="position:absolute;left:0;text-align:left;margin-left:-3.2pt;margin-top:39.25pt;width:532.45pt;height:42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" filled="f" strokecolor="#243f60 [1604]" strokeweight=".25pt"/>
        </w:pict>
      </w:r>
      <w:r w:rsidR="006C59CD" w:rsidRPr="00AA4143">
        <w:t xml:space="preserve">La méthode d’ionisation MALDI </w:t>
      </w:r>
      <w:r w:rsidR="00AA4143">
        <w:t xml:space="preserve">TOF permet la séparation et l’identification </w:t>
      </w:r>
      <w:r w:rsidR="006C59CD" w:rsidRPr="00AA4143">
        <w:t xml:space="preserve">d’ions moléculaires  de poids moléculaires élevés (protéines, peptides, ADN, polymères synthétiques...). </w:t>
      </w:r>
    </w:p>
    <w:p w:rsidR="00160D87" w:rsidRDefault="00160D87" w:rsidP="00160D87">
      <w:pPr>
        <w:spacing w:after="0"/>
      </w:pPr>
      <w:r>
        <w:t>Schéma explicatif :</w:t>
      </w:r>
    </w:p>
    <w:p w:rsidR="00770ED6" w:rsidRDefault="00D4629B" w:rsidP="00770ED6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>
            <wp:extent cx="6025896" cy="3904488"/>
            <wp:effectExtent l="0" t="0" r="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_elev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5896" cy="390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9CD" w:rsidRDefault="00EE6602" w:rsidP="00770ED6">
      <w:pPr>
        <w:spacing w:after="0"/>
        <w:jc w:val="both"/>
      </w:pPr>
      <w:r>
        <w:t>L</w:t>
      </w:r>
      <w:r w:rsidR="006C59CD" w:rsidRPr="00AA4143">
        <w:t>’échantillon e</w:t>
      </w:r>
      <w:r>
        <w:t>s</w:t>
      </w:r>
      <w:r w:rsidR="006C59CD" w:rsidRPr="00AA4143">
        <w:t xml:space="preserve">t </w:t>
      </w:r>
      <w:r>
        <w:t>mélangé à une</w:t>
      </w:r>
      <w:r w:rsidR="006C59CD" w:rsidRPr="00AA4143">
        <w:t xml:space="preserve"> matrice</w:t>
      </w:r>
      <w:r w:rsidR="00770ED6">
        <w:t xml:space="preserve"> (elle est choisie en fonction des molécules à étudier)</w:t>
      </w:r>
      <w:r>
        <w:t>.</w:t>
      </w:r>
      <w:r w:rsidR="006C59CD" w:rsidRPr="00AA4143">
        <w:t xml:space="preserve"> </w:t>
      </w:r>
      <w:r>
        <w:t>S</w:t>
      </w:r>
      <w:r w:rsidR="00AA4143" w:rsidRPr="00AA4143">
        <w:t xml:space="preserve">ous l’action </w:t>
      </w:r>
      <w:bookmarkStart w:id="0" w:name="_GoBack"/>
      <w:bookmarkEnd w:id="0"/>
      <w:r w:rsidR="00AA4143" w:rsidRPr="00AA4143">
        <w:t>de tirs</w:t>
      </w:r>
      <w:r w:rsidR="006C59CD" w:rsidRPr="00AA4143">
        <w:t xml:space="preserve"> laser </w:t>
      </w:r>
      <w:r>
        <w:t>c</w:t>
      </w:r>
      <w:r w:rsidR="00AA4143" w:rsidRPr="00AA4143">
        <w:t>e</w:t>
      </w:r>
      <w:r w:rsidR="006C59CD" w:rsidRPr="00AA4143">
        <w:t xml:space="preserve"> </w:t>
      </w:r>
      <w:r>
        <w:t xml:space="preserve">mélange se </w:t>
      </w:r>
      <w:r w:rsidR="006C59CD" w:rsidRPr="00AA4143">
        <w:t xml:space="preserve">vaporise et </w:t>
      </w:r>
      <w:r>
        <w:t xml:space="preserve">il se </w:t>
      </w:r>
      <w:r w:rsidR="006C59CD" w:rsidRPr="00AA4143">
        <w:t>forme des ions moléculaires</w:t>
      </w:r>
      <w:r>
        <w:t xml:space="preserve"> de charge positive</w:t>
      </w:r>
      <w:r w:rsidR="00160D87">
        <w:t>.</w:t>
      </w:r>
      <w:r w:rsidR="006C59CD" w:rsidRPr="00AA4143">
        <w:t xml:space="preserve"> Les ions </w:t>
      </w:r>
      <w:r>
        <w:t xml:space="preserve">moléculaires </w:t>
      </w:r>
      <w:r w:rsidR="006C59CD" w:rsidRPr="00AA4143">
        <w:t xml:space="preserve">sont accélérés </w:t>
      </w:r>
      <w:r>
        <w:t>vers un tube de vol sous vide. Ils</w:t>
      </w:r>
      <w:r w:rsidR="006C59CD" w:rsidRPr="00AA4143">
        <w:t xml:space="preserve"> </w:t>
      </w:r>
      <w:r>
        <w:t>traversent le tube</w:t>
      </w:r>
      <w:r w:rsidR="006C59CD" w:rsidRPr="00AA4143">
        <w:t xml:space="preserve"> jusqu</w:t>
      </w:r>
      <w:r w:rsidR="00160D87">
        <w:t>’au</w:t>
      </w:r>
      <w:r w:rsidR="006C59CD" w:rsidRPr="00AA4143">
        <w:t xml:space="preserve"> détecteur à </w:t>
      </w:r>
      <w:r>
        <w:t>une vitesse proportionnelle au rapport masse sur charge (m/z)</w:t>
      </w:r>
      <w:r w:rsidR="006C59CD" w:rsidRPr="00AA4143">
        <w:t xml:space="preserve">. </w:t>
      </w:r>
      <w:r>
        <w:t>L</w:t>
      </w:r>
      <w:r w:rsidR="00AA4143">
        <w:t>es molécules de faible poids moléculaire atteindront le détecteur en premier</w:t>
      </w:r>
      <w:r w:rsidR="006C59CD" w:rsidRPr="00AA4143">
        <w:t>.</w:t>
      </w:r>
      <w:r w:rsidR="00AA4143">
        <w:t xml:space="preserve"> Le détecteur transforme l’intensité ionique en intensité électrique. Le traitement des données permet </w:t>
      </w:r>
      <w:r w:rsidR="00D4629B">
        <w:t>d’</w:t>
      </w:r>
      <w:r w:rsidR="00AA4143">
        <w:t>obteni</w:t>
      </w:r>
      <w:r w:rsidR="00D4629B">
        <w:t>r</w:t>
      </w:r>
      <w:r w:rsidR="00AA4143">
        <w:t xml:space="preserve"> un spectre : intensité = </w:t>
      </w:r>
      <w:proofErr w:type="gramStart"/>
      <w:r w:rsidR="00AA4143">
        <w:t>f(</w:t>
      </w:r>
      <w:proofErr w:type="gramEnd"/>
      <w:r w:rsidR="00AA4143">
        <w:t>temps de vol) ou intensité = f(m/z).</w:t>
      </w:r>
    </w:p>
    <w:p w:rsidR="00D4629B" w:rsidRDefault="00D4629B" w:rsidP="00770ED6">
      <w:pPr>
        <w:spacing w:after="0"/>
        <w:jc w:val="both"/>
      </w:pPr>
    </w:p>
    <w:p w:rsidR="00D77F58" w:rsidRDefault="00770ED6" w:rsidP="00941A86">
      <w:pPr>
        <w:spacing w:after="0"/>
        <w:jc w:val="both"/>
      </w:pPr>
      <w:r>
        <w:t xml:space="preserve">Au laboratoire de microbiologie </w:t>
      </w:r>
      <w:r w:rsidR="00941A86">
        <w:t xml:space="preserve">clinique </w:t>
      </w:r>
      <w:r>
        <w:t>cette technique est utilisée pour l’identification de</w:t>
      </w:r>
      <w:r w:rsidR="00941A86">
        <w:t>s</w:t>
      </w:r>
      <w:r>
        <w:t xml:space="preserve"> </w:t>
      </w:r>
      <w:r w:rsidR="005B2E7B">
        <w:t xml:space="preserve">bactéries et des mycètes grâce </w:t>
      </w:r>
      <w:r>
        <w:t xml:space="preserve">à l’étude des protéines totales. Le spectre de masse obtenu pour une souche </w:t>
      </w:r>
      <w:r w:rsidR="005B2E7B">
        <w:t>pure</w:t>
      </w:r>
      <w:r>
        <w:t xml:space="preserve"> est comparé aux spectres d’une base de données pour identification. </w:t>
      </w:r>
      <w:r w:rsidR="00D4629B">
        <w:t>Les étapes de l’identification :</w:t>
      </w:r>
    </w:p>
    <w:p w:rsidR="00F84AD2" w:rsidRDefault="00D4629B" w:rsidP="00941A86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>
            <wp:extent cx="6634524" cy="877104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DI_etapes_Eleve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42" cy="87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/>
      </w:tblPr>
      <w:tblGrid>
        <w:gridCol w:w="5172"/>
        <w:gridCol w:w="5172"/>
      </w:tblGrid>
      <w:tr w:rsidR="00D77F58" w:rsidRPr="00941A86" w:rsidTr="00D77F58">
        <w:tc>
          <w:tcPr>
            <w:tcW w:w="5172" w:type="dxa"/>
          </w:tcPr>
          <w:p w:rsidR="00D77F58" w:rsidRPr="00941A86" w:rsidRDefault="00D77F58" w:rsidP="00941A86">
            <w:pPr>
              <w:jc w:val="both"/>
              <w:rPr>
                <w:b/>
              </w:rPr>
            </w:pPr>
            <w:r w:rsidRPr="00941A86">
              <w:rPr>
                <w:b/>
              </w:rPr>
              <w:t xml:space="preserve">Avantages de la technique : </w:t>
            </w:r>
          </w:p>
          <w:p w:rsidR="00D77F58" w:rsidRPr="00941A86" w:rsidRDefault="00D77F58" w:rsidP="00941A8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941A86">
              <w:t xml:space="preserve">rapide et </w:t>
            </w:r>
            <w:r w:rsidR="00F84AD2" w:rsidRPr="00941A86">
              <w:t>peu couteuse (hors coût appareil</w:t>
            </w:r>
            <w:r w:rsidRPr="00941A86">
              <w:t>).</w:t>
            </w:r>
          </w:p>
          <w:p w:rsidR="00D77F58" w:rsidRPr="00941A86" w:rsidRDefault="00D77F58" w:rsidP="00941A8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941A86">
              <w:t>Identification possible des bactéries et des mycètes</w:t>
            </w:r>
            <w:r w:rsidR="00941A86">
              <w:t>.</w:t>
            </w:r>
          </w:p>
          <w:p w:rsidR="00D77F58" w:rsidRPr="00941A86" w:rsidRDefault="00D77F58" w:rsidP="00941A8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941A86">
              <w:t>Peu de gestes techniques.</w:t>
            </w:r>
          </w:p>
          <w:p w:rsidR="00D77F58" w:rsidRPr="00941A86" w:rsidRDefault="00D77F58" w:rsidP="00941A8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941A86">
              <w:t>Simplification de la démarche d’identification</w:t>
            </w:r>
            <w:r w:rsidR="00D4629B" w:rsidRPr="00941A86">
              <w:t>.</w:t>
            </w:r>
          </w:p>
        </w:tc>
        <w:tc>
          <w:tcPr>
            <w:tcW w:w="5172" w:type="dxa"/>
          </w:tcPr>
          <w:p w:rsidR="00D77F58" w:rsidRPr="00941A86" w:rsidRDefault="00D77F58" w:rsidP="00941A86">
            <w:pPr>
              <w:rPr>
                <w:b/>
              </w:rPr>
            </w:pPr>
            <w:r w:rsidRPr="00941A86">
              <w:rPr>
                <w:b/>
              </w:rPr>
              <w:t xml:space="preserve">Inconvénients : </w:t>
            </w:r>
          </w:p>
          <w:p w:rsidR="00D77F58" w:rsidRPr="00941A86" w:rsidRDefault="00941A86" w:rsidP="00941A86">
            <w:pPr>
              <w:pStyle w:val="Paragraphedeliste"/>
              <w:numPr>
                <w:ilvl w:val="0"/>
                <w:numId w:val="2"/>
              </w:numPr>
            </w:pPr>
            <w:r>
              <w:t xml:space="preserve">en cas de prélèvement contaminé, ou de mauvais dépôt </w:t>
            </w:r>
            <w:r w:rsidR="00D77F58" w:rsidRPr="00941A86">
              <w:t xml:space="preserve">l’identification </w:t>
            </w:r>
            <w:r w:rsidR="00697CCC" w:rsidRPr="00941A86">
              <w:t xml:space="preserve">est </w:t>
            </w:r>
            <w:r w:rsidR="00D4629B" w:rsidRPr="00941A86">
              <w:t>impossible</w:t>
            </w:r>
            <w:r w:rsidR="00D77F58" w:rsidRPr="00941A86">
              <w:t xml:space="preserve"> ou erronée</w:t>
            </w:r>
          </w:p>
          <w:p w:rsidR="00D77F58" w:rsidRPr="00941A86" w:rsidRDefault="00D77F58" w:rsidP="00941A86">
            <w:pPr>
              <w:pStyle w:val="Paragraphedeliste"/>
              <w:numPr>
                <w:ilvl w:val="0"/>
                <w:numId w:val="2"/>
              </w:numPr>
            </w:pPr>
            <w:r w:rsidRPr="00941A86">
              <w:t>identification limitée aux micro-organismes présents dans la base de données</w:t>
            </w:r>
          </w:p>
        </w:tc>
      </w:tr>
    </w:tbl>
    <w:p w:rsidR="00D77F58" w:rsidRPr="00941A86" w:rsidRDefault="00D77F58" w:rsidP="00770ED6">
      <w:pPr>
        <w:jc w:val="both"/>
        <w:rPr>
          <w:sz w:val="22"/>
        </w:rPr>
        <w:sectPr w:rsidR="00D77F58" w:rsidRPr="00941A86" w:rsidSect="00D4629B">
          <w:pgSz w:w="11906" w:h="16838"/>
          <w:pgMar w:top="568" w:right="566" w:bottom="851" w:left="851" w:header="709" w:footer="709" w:gutter="0"/>
          <w:cols w:space="708"/>
          <w:docGrid w:linePitch="360"/>
        </w:sectPr>
      </w:pPr>
    </w:p>
    <w:p w:rsidR="00D77F58" w:rsidRPr="00941A86" w:rsidRDefault="00D77F58" w:rsidP="00160D87">
      <w:pPr>
        <w:spacing w:after="0"/>
        <w:rPr>
          <w:sz w:val="22"/>
        </w:rPr>
        <w:sectPr w:rsidR="00D77F58" w:rsidRPr="00941A86" w:rsidSect="00D77F58">
          <w:type w:val="continuous"/>
          <w:pgSz w:w="11906" w:h="16838"/>
          <w:pgMar w:top="568" w:right="851" w:bottom="851" w:left="851" w:header="709" w:footer="709" w:gutter="0"/>
          <w:cols w:num="2" w:space="708"/>
          <w:docGrid w:linePitch="360"/>
        </w:sectPr>
      </w:pPr>
    </w:p>
    <w:p w:rsidR="00FA24C7" w:rsidRPr="00FA24C7" w:rsidRDefault="00FA24C7" w:rsidP="00FA24C7">
      <w:pPr>
        <w:spacing w:after="0"/>
        <w:jc w:val="right"/>
        <w:rPr>
          <w:i/>
          <w:sz w:val="16"/>
          <w:szCs w:val="16"/>
        </w:rPr>
      </w:pPr>
      <w:r w:rsidRPr="00FA24C7">
        <w:rPr>
          <w:i/>
          <w:sz w:val="16"/>
          <w:szCs w:val="16"/>
        </w:rPr>
        <w:lastRenderedPageBreak/>
        <w:t xml:space="preserve">Rémi Moreda – Lycée Docteur Lacroix </w:t>
      </w:r>
      <w:r>
        <w:rPr>
          <w:i/>
          <w:sz w:val="16"/>
          <w:szCs w:val="16"/>
        </w:rPr>
        <w:t>–</w:t>
      </w:r>
      <w:r w:rsidRPr="00FA24C7">
        <w:rPr>
          <w:i/>
          <w:sz w:val="16"/>
          <w:szCs w:val="16"/>
        </w:rPr>
        <w:t xml:space="preserve"> Narbonne</w:t>
      </w:r>
      <w:r w:rsidR="00CF17AE">
        <w:rPr>
          <w:i/>
          <w:sz w:val="16"/>
          <w:szCs w:val="16"/>
        </w:rPr>
        <w:t xml:space="preserve"> - 2023</w:t>
      </w:r>
    </w:p>
    <w:sectPr w:rsidR="00FA24C7" w:rsidRPr="00FA24C7" w:rsidSect="00D77F58">
      <w:type w:val="continuous"/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60BC"/>
    <w:multiLevelType w:val="hybridMultilevel"/>
    <w:tmpl w:val="AB5C9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B330B"/>
    <w:multiLevelType w:val="hybridMultilevel"/>
    <w:tmpl w:val="D368F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2547D"/>
    <w:rsid w:val="0001058A"/>
    <w:rsid w:val="00160D87"/>
    <w:rsid w:val="00365704"/>
    <w:rsid w:val="003B3EC5"/>
    <w:rsid w:val="00555F46"/>
    <w:rsid w:val="005B2E7B"/>
    <w:rsid w:val="005F406A"/>
    <w:rsid w:val="00697CCC"/>
    <w:rsid w:val="006C59CD"/>
    <w:rsid w:val="00770ED6"/>
    <w:rsid w:val="008A0562"/>
    <w:rsid w:val="00941A86"/>
    <w:rsid w:val="0095279A"/>
    <w:rsid w:val="00AA4143"/>
    <w:rsid w:val="00B93767"/>
    <w:rsid w:val="00CF17AE"/>
    <w:rsid w:val="00D2547D"/>
    <w:rsid w:val="00D4629B"/>
    <w:rsid w:val="00D77F58"/>
    <w:rsid w:val="00EE6602"/>
    <w:rsid w:val="00F84AD2"/>
    <w:rsid w:val="00FA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143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1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60D8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fr-FR"/>
    </w:rPr>
  </w:style>
  <w:style w:type="table" w:styleId="Grilledutableau">
    <w:name w:val="Table Grid"/>
    <w:basedOn w:val="TableauNormal"/>
    <w:uiPriority w:val="59"/>
    <w:rsid w:val="00D7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77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143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1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60D8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fr-FR"/>
    </w:rPr>
  </w:style>
  <w:style w:type="table" w:styleId="Grilledutableau">
    <w:name w:val="Table Grid"/>
    <w:basedOn w:val="TableauNormal"/>
    <w:uiPriority w:val="59"/>
    <w:rsid w:val="00D7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77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Rémi Moreda</dc:creator>
  <cp:lastModifiedBy>r.moreda</cp:lastModifiedBy>
  <cp:revision>8</cp:revision>
  <cp:lastPrinted>2023-04-12T15:00:00Z</cp:lastPrinted>
  <dcterms:created xsi:type="dcterms:W3CDTF">2015-03-19T19:22:00Z</dcterms:created>
  <dcterms:modified xsi:type="dcterms:W3CDTF">2023-04-12T15:00:00Z</dcterms:modified>
</cp:coreProperties>
</file>