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D0" w:rsidRPr="002558D0" w:rsidRDefault="002558D0" w:rsidP="002558D0">
      <w:pPr>
        <w:jc w:val="center"/>
        <w:rPr>
          <w:rFonts w:ascii="Arial Narrow" w:hAnsi="Arial Narrow" w:cs="Arial"/>
          <w:b/>
          <w:color w:val="2F5496" w:themeColor="accent5" w:themeShade="BF"/>
          <w:sz w:val="32"/>
          <w:szCs w:val="32"/>
        </w:rPr>
      </w:pPr>
      <w:r w:rsidRPr="002558D0">
        <w:rPr>
          <w:rFonts w:ascii="Arial Narrow" w:hAnsi="Arial Narrow" w:cs="Arial"/>
          <w:b/>
          <w:color w:val="2F5496" w:themeColor="accent5" w:themeShade="BF"/>
          <w:sz w:val="32"/>
          <w:szCs w:val="32"/>
        </w:rPr>
        <w:t xml:space="preserve">Les activités du référentiel </w:t>
      </w:r>
      <w:proofErr w:type="spellStart"/>
      <w:r w:rsidRPr="002558D0">
        <w:rPr>
          <w:rFonts w:ascii="Arial Narrow" w:hAnsi="Arial Narrow" w:cs="Arial"/>
          <w:b/>
          <w:color w:val="2F5496" w:themeColor="accent5" w:themeShade="BF"/>
          <w:sz w:val="32"/>
          <w:szCs w:val="32"/>
        </w:rPr>
        <w:t>AGOrA</w:t>
      </w:r>
      <w:proofErr w:type="spellEnd"/>
      <w:r w:rsidRPr="002558D0">
        <w:rPr>
          <w:rFonts w:ascii="Arial Narrow" w:hAnsi="Arial Narrow" w:cs="Arial"/>
          <w:b/>
          <w:color w:val="2F5496" w:themeColor="accent5" w:themeShade="BF"/>
          <w:sz w:val="32"/>
          <w:szCs w:val="32"/>
        </w:rPr>
        <w:t xml:space="preserve"> associées avec les compétences PIX</w:t>
      </w:r>
    </w:p>
    <w:p w:rsidR="002558D0" w:rsidRDefault="002558D0" w:rsidP="002558D0"/>
    <w:p w:rsidR="002558D0" w:rsidRPr="002558D0" w:rsidRDefault="002558D0" w:rsidP="002558D0">
      <w:pPr>
        <w:rPr>
          <w:rFonts w:ascii="Arial Narrow" w:eastAsia="Calibri" w:hAnsi="Arial Narrow" w:cs="Times New Roman"/>
          <w:b/>
          <w:bCs/>
          <w:smallCaps/>
          <w:color w:val="538135" w:themeColor="accent6" w:themeShade="BF"/>
        </w:rPr>
      </w:pPr>
      <w:r w:rsidRPr="002558D0">
        <w:rPr>
          <w:rFonts w:ascii="Arial Narrow" w:eastAsia="Calibri" w:hAnsi="Arial Narrow" w:cs="Times New Roman"/>
          <w:b/>
          <w:bCs/>
          <w:smallCaps/>
          <w:color w:val="2F5496" w:themeColor="accent5" w:themeShade="BF"/>
        </w:rPr>
        <w:t>Pôle 1 - Gestion des relations avec les clients, les usagers et les adhérents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5930" w:rsidRPr="002558D0" w:rsidTr="00BC5930">
        <w:tc>
          <w:tcPr>
            <w:tcW w:w="5228" w:type="dxa"/>
          </w:tcPr>
          <w:p w:rsidR="00BC5930" w:rsidRPr="002558D0" w:rsidRDefault="00BC5930" w:rsidP="00BC5930">
            <w:pPr>
              <w:suppressAutoHyphens/>
              <w:ind w:right="113"/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  <w:t xml:space="preserve">BLOC 1 </w:t>
            </w:r>
            <w:r w:rsidRPr="002558D0">
              <w:rPr>
                <w:rFonts w:ascii="Arial Narrow" w:eastAsia="Calibri" w:hAnsi="Arial Narrow"/>
                <w:color w:val="2F5496" w:themeColor="accent5" w:themeShade="BF"/>
                <w:sz w:val="18"/>
                <w:szCs w:val="18"/>
              </w:rPr>
              <w:t>Gérer des relations avec les clients, les usagers et les adhérents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1.1. Préparation et prise en charge de la relation avec le client, l’usager ou l’adhérent 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 xml:space="preserve">Accueil et renseignement 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Prise en charge de la demande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Préparation et suivi d’évènements liés à la promotion de l’organisation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Assistance et suivi des opérations de prospection</w:t>
            </w:r>
          </w:p>
          <w:p w:rsidR="00BC5930" w:rsidRPr="002558D0" w:rsidRDefault="00BC5930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5D5CCAD" wp14:editId="4619D307">
                  <wp:extent cx="287016" cy="2190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41"/>
              <w:rPr>
                <w:rFonts w:ascii="Arial Narrow" w:hAnsi="Arial Narrow" w:cs="Calibri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41"/>
              <w:rPr>
                <w:rFonts w:ascii="Arial Narrow" w:hAnsi="Arial Narrow" w:cs="Calibri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>1.3. Traiter des données</w:t>
            </w:r>
          </w:p>
          <w:p w:rsidR="00BC5930" w:rsidRPr="002558D0" w:rsidRDefault="00BC5930" w:rsidP="00BC5930">
            <w:pPr>
              <w:ind w:left="341"/>
              <w:rPr>
                <w:rFonts w:ascii="Arial Narrow" w:hAnsi="Arial Narrow" w:cs="Calibri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 xml:space="preserve">2.3. Collaborer </w:t>
            </w:r>
          </w:p>
          <w:p w:rsidR="00BC5930" w:rsidRPr="002558D0" w:rsidRDefault="00BC5930" w:rsidP="00BC5930">
            <w:pPr>
              <w:ind w:left="341"/>
              <w:rPr>
                <w:rFonts w:ascii="Arial Narrow" w:hAnsi="Arial Narrow" w:cs="Calibri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 xml:space="preserve">3.1. Développer des documents textuels </w:t>
            </w:r>
          </w:p>
          <w:p w:rsidR="00BC5930" w:rsidRPr="002558D0" w:rsidRDefault="00BC5930" w:rsidP="00BC5930">
            <w:pPr>
              <w:ind w:left="341"/>
              <w:rPr>
                <w:rFonts w:ascii="Arial Narrow" w:hAnsi="Arial Narrow" w:cs="Calibri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 xml:space="preserve">3.2. Développer </w:t>
            </w:r>
            <w:proofErr w:type="gramStart"/>
            <w:r w:rsidRPr="002558D0">
              <w:rPr>
                <w:rFonts w:ascii="Arial Narrow" w:hAnsi="Arial Narrow" w:cs="Calibri"/>
                <w:sz w:val="18"/>
                <w:szCs w:val="18"/>
              </w:rPr>
              <w:t>des documents multimédia</w:t>
            </w:r>
            <w:proofErr w:type="gramEnd"/>
            <w:r w:rsidRPr="002558D0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41"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 w:cs="Calibri"/>
                <w:sz w:val="18"/>
                <w:szCs w:val="18"/>
              </w:rPr>
              <w:t>3.3. Adapter les documents à leur finalité</w:t>
            </w:r>
          </w:p>
          <w:p w:rsidR="00BC5930" w:rsidRPr="002558D0" w:rsidRDefault="00BC5930">
            <w:pPr>
              <w:rPr>
                <w:sz w:val="18"/>
                <w:szCs w:val="18"/>
              </w:rPr>
            </w:pPr>
          </w:p>
        </w:tc>
      </w:tr>
      <w:tr w:rsidR="00BC5930" w:rsidRPr="002558D0" w:rsidTr="00BC5930">
        <w:tc>
          <w:tcPr>
            <w:tcW w:w="5228" w:type="dxa"/>
          </w:tcPr>
          <w:p w:rsidR="00BC5930" w:rsidRPr="002558D0" w:rsidRDefault="00BC5930" w:rsidP="00BC5930">
            <w:pPr>
              <w:suppressAutoHyphens/>
              <w:ind w:right="113"/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  <w:t xml:space="preserve">BLOC 1 </w:t>
            </w:r>
            <w:r w:rsidRPr="002558D0">
              <w:rPr>
                <w:rFonts w:ascii="Arial Narrow" w:eastAsia="Calibri" w:hAnsi="Arial Narrow"/>
                <w:color w:val="2F5496" w:themeColor="accent5" w:themeShade="BF"/>
                <w:sz w:val="18"/>
                <w:szCs w:val="18"/>
              </w:rPr>
              <w:t>Gérer des relations avec les clients, les usagers et les adhérents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1.2. </w:t>
            </w:r>
            <w:r w:rsidRPr="002558D0">
              <w:rPr>
                <w:rFonts w:ascii="Arial Narrow" w:hAnsi="Arial Narrow" w:cs="Arial"/>
                <w:b w:val="0"/>
                <w:sz w:val="18"/>
                <w:szCs w:val="18"/>
              </w:rPr>
              <w:t>Traitement des opérations administratives et de gestion liées aux relations avec le client, l’usager ou l’adhérent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devis, commandes, contrats, conventions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Traitement de la livraison et de la facturation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Traitement des encaissements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1"/>
              </w:numPr>
              <w:ind w:left="851" w:right="113" w:hanging="142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Traitement des réclamations et des litiges</w:t>
            </w:r>
          </w:p>
          <w:p w:rsidR="00BC5930" w:rsidRPr="002558D0" w:rsidRDefault="00BC5930" w:rsidP="00BC5930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</w:p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D6FF41E" wp14:editId="7AF51CBB">
                  <wp:extent cx="287016" cy="2190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3.1. Développer des documents textuels </w:t>
            </w:r>
          </w:p>
          <w:p w:rsidR="00BC5930" w:rsidRPr="002558D0" w:rsidRDefault="00BC5930" w:rsidP="00BC5930">
            <w:pPr>
              <w:ind w:left="338" w:right="113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3.3. Adapter les documents à leur finalité </w:t>
            </w:r>
          </w:p>
        </w:tc>
      </w:tr>
      <w:tr w:rsidR="00BC5930" w:rsidRPr="002558D0" w:rsidTr="00BC5930">
        <w:tc>
          <w:tcPr>
            <w:tcW w:w="5228" w:type="dxa"/>
          </w:tcPr>
          <w:p w:rsidR="00BC5930" w:rsidRPr="002558D0" w:rsidRDefault="00BC5930" w:rsidP="00BC5930">
            <w:pPr>
              <w:suppressAutoHyphens/>
              <w:ind w:right="113"/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/>
                <w:color w:val="2F5496" w:themeColor="accent5" w:themeShade="BF"/>
                <w:sz w:val="18"/>
                <w:szCs w:val="18"/>
              </w:rPr>
              <w:t xml:space="preserve">BLOC 1 </w:t>
            </w:r>
            <w:r w:rsidRPr="002558D0">
              <w:rPr>
                <w:rFonts w:ascii="Arial Narrow" w:eastAsia="Calibri" w:hAnsi="Arial Narrow"/>
                <w:color w:val="2F5496" w:themeColor="accent5" w:themeShade="BF"/>
                <w:sz w:val="18"/>
                <w:szCs w:val="18"/>
              </w:rPr>
              <w:t>Gérer des relations avec les clients, les usagers et les adhérents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1.3. Actualisation du système d’information en lien avec le client, l’usager ou l’adhérent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993" w:right="113" w:hanging="239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Mise à jour des dossiers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993" w:right="113" w:hanging="239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Mise à jour de tableaux de bord « commerciaux »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993" w:right="113" w:hanging="239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et actualisation des données sur les réseaux sociaux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1"/>
              </w:numPr>
              <w:ind w:left="993" w:right="113" w:hanging="239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Mise à jour des données du site internet de l’organisation</w:t>
            </w:r>
          </w:p>
          <w:p w:rsidR="00BC5930" w:rsidRPr="002558D0" w:rsidRDefault="00BC5930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3B21D030" wp14:editId="1B3C8C38">
                  <wp:extent cx="287016" cy="2190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1.1. Mener une recherche et une veille d’information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38" w:right="113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4.1. Sécuriser l’environnement numérique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38"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4.2. Protéger les données personnelles et la vie privée </w:t>
            </w:r>
          </w:p>
          <w:p w:rsidR="00BC5930" w:rsidRPr="002558D0" w:rsidRDefault="00BC5930">
            <w:pPr>
              <w:rPr>
                <w:sz w:val="18"/>
                <w:szCs w:val="18"/>
              </w:rPr>
            </w:pPr>
          </w:p>
        </w:tc>
      </w:tr>
    </w:tbl>
    <w:p w:rsidR="00BC5930" w:rsidRDefault="00BC5930" w:rsidP="00BC5930"/>
    <w:p w:rsidR="00BC5930" w:rsidRPr="002558D0" w:rsidRDefault="002558D0" w:rsidP="00BC5930">
      <w:pPr>
        <w:rPr>
          <w:rFonts w:ascii="Arial Narrow" w:eastAsia="Calibri" w:hAnsi="Arial Narrow" w:cs="Times New Roman"/>
          <w:b/>
          <w:bCs/>
          <w:smallCaps/>
          <w:color w:val="538135" w:themeColor="accent6" w:themeShade="BF"/>
        </w:rPr>
      </w:pPr>
      <w:r w:rsidRPr="002558D0">
        <w:rPr>
          <w:rFonts w:ascii="Arial Narrow" w:eastAsia="Calibri" w:hAnsi="Arial Narrow" w:cs="Times New Roman"/>
          <w:b/>
          <w:bCs/>
          <w:smallCaps/>
          <w:color w:val="538135" w:themeColor="accent6" w:themeShade="BF"/>
        </w:rPr>
        <w:t>Pôle 2 – Organisation et suivi de l’activité de production (de biens ou de services)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</w:pPr>
            <w:r w:rsidRPr="002558D0"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  <w:t>Bloc de compétences 2 – Organiser et suivre l’activité de production (de biens ou de services)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2.1. Suivi administratif de l’activité de production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approvisionnements et des stocks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Tenue des dossiers fournisseurs, sous-traitants et prestataires de service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formalités administratives avec les partenaires spécifiques au secteur d’activité*Suivi de la coordination d’activités relevant d’un service ou d’un projet</w:t>
            </w:r>
          </w:p>
          <w:p w:rsidR="00BC5930" w:rsidRPr="002558D0" w:rsidRDefault="00BC5930" w:rsidP="006533B2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619D665" wp14:editId="2842A733">
                  <wp:extent cx="287016" cy="2190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4.2. Protéger les données personnelles et la vie privée</w:t>
            </w:r>
          </w:p>
        </w:tc>
      </w:tr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</w:pPr>
            <w:r w:rsidRPr="002558D0"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  <w:t>Bloc de compétences 2 – Organiser et suivre l’activité de production (de biens ou de services)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2.2. Suivi financier de l’activité de production 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décaissements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 la trésorerie et des relations avec les organismes et partenaires financiers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851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Préparation de la déclaration de TVA</w:t>
            </w:r>
          </w:p>
          <w:p w:rsidR="00BC5930" w:rsidRPr="002558D0" w:rsidRDefault="00BC5930" w:rsidP="006533B2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74B668D2" wp14:editId="14E04584">
                  <wp:extent cx="287016" cy="2190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38"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6533B2">
            <w:pPr>
              <w:rPr>
                <w:sz w:val="18"/>
                <w:szCs w:val="18"/>
              </w:rPr>
            </w:pPr>
          </w:p>
        </w:tc>
      </w:tr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</w:pPr>
            <w:r w:rsidRPr="002558D0">
              <w:rPr>
                <w:rFonts w:ascii="Arial Narrow" w:eastAsia="Calibri" w:hAnsi="Arial Narrow"/>
                <w:color w:val="538135" w:themeColor="accent6" w:themeShade="BF"/>
                <w:sz w:val="18"/>
                <w:szCs w:val="18"/>
              </w:rPr>
              <w:t>Bloc de compétences 2 – Organiser et suivre l’activité de production (de biens ou de services)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2.3. Gestion opérationnelle des espaces (physiques et virtuels) de travail 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709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contrats de maintenance, abonnements, licences informatiques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709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Gestion des petites fournitures et consommables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709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Mise à disposition des ressources physiques partagées (suivi des entrées-sorties de matériels, clés, etc.)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709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Organisation des réunions en présentiel ou à distance</w:t>
            </w:r>
          </w:p>
          <w:p w:rsidR="00BC5930" w:rsidRPr="002558D0" w:rsidRDefault="00BC5930" w:rsidP="00BC5930">
            <w:pPr>
              <w:pStyle w:val="Paragraphedeliste"/>
              <w:numPr>
                <w:ilvl w:val="0"/>
                <w:numId w:val="4"/>
              </w:numPr>
              <w:ind w:left="709" w:right="113" w:hanging="198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Gestion des espaces internes de partage de l’information (affichage, notes internes, espaces collaboratifs, etc.)</w:t>
            </w:r>
          </w:p>
          <w:p w:rsidR="00BC5930" w:rsidRPr="002558D0" w:rsidRDefault="00BC5930" w:rsidP="00BC5930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</w:p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11B71D1E" wp14:editId="38E4BDC6">
                  <wp:extent cx="287016" cy="2190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38"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2.3. Collaborer</w:t>
            </w:r>
          </w:p>
          <w:p w:rsidR="00BC5930" w:rsidRPr="002558D0" w:rsidRDefault="00BC5930" w:rsidP="00BC5930">
            <w:pPr>
              <w:pStyle w:val="Paragraphedeliste"/>
              <w:ind w:left="305" w:right="113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</w:tbl>
    <w:p w:rsidR="00BC5930" w:rsidRDefault="00BC5930" w:rsidP="00BC5930"/>
    <w:p w:rsidR="00BC5930" w:rsidRDefault="00BC5930" w:rsidP="00BC5930"/>
    <w:p w:rsidR="00BC5930" w:rsidRDefault="00BC5930" w:rsidP="00BC5930"/>
    <w:p w:rsidR="002558D0" w:rsidRDefault="002558D0" w:rsidP="00BC5930"/>
    <w:p w:rsidR="002558D0" w:rsidRDefault="002558D0" w:rsidP="00BC5930"/>
    <w:p w:rsidR="002558D0" w:rsidRPr="002558D0" w:rsidRDefault="002558D0" w:rsidP="00BC5930">
      <w:pPr>
        <w:rPr>
          <w:rFonts w:ascii="Arial Narrow" w:eastAsia="Calibri" w:hAnsi="Arial Narrow" w:cs="Times New Roman"/>
          <w:b/>
          <w:bCs/>
          <w:smallCaps/>
          <w:color w:val="ED7D31" w:themeColor="accent2"/>
        </w:rPr>
      </w:pPr>
      <w:r w:rsidRPr="002558D0">
        <w:rPr>
          <w:rFonts w:ascii="Arial Narrow" w:eastAsia="Calibri" w:hAnsi="Arial Narrow" w:cs="Times New Roman"/>
          <w:b/>
          <w:bCs/>
          <w:smallCaps/>
          <w:color w:val="ED7D31" w:themeColor="accent2"/>
        </w:rPr>
        <w:lastRenderedPageBreak/>
        <w:t>Pôle 3 – Administration du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</w:pPr>
            <w:bookmarkStart w:id="0" w:name="_Toc18314775"/>
            <w:bookmarkStart w:id="1" w:name="_Toc19726143"/>
            <w:r w:rsidRPr="002558D0"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  <w:t>Bloc de compétences 3 – Administrer le personnel</w:t>
            </w:r>
            <w:bookmarkEnd w:id="0"/>
            <w:bookmarkEnd w:id="1"/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3.1. Suivi de la carrière du personnel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6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administratif du recrutement, de l’intégration et du départ des personnels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6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Tenue des dossiers des personnels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6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Préparation et suivi des actions de formation professionnelle</w:t>
            </w:r>
          </w:p>
          <w:p w:rsidR="00BC5930" w:rsidRPr="002558D0" w:rsidRDefault="00BC5930" w:rsidP="006533B2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47BB1944" wp14:editId="6FC52F6D">
                  <wp:extent cx="287016" cy="21907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4.1. Sécuriser l’environnement numérique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4.2. Protéger les données personnelles et la vie privée </w:t>
            </w:r>
          </w:p>
          <w:p w:rsidR="00BC5930" w:rsidRPr="002558D0" w:rsidRDefault="00BC5930" w:rsidP="00BC5930">
            <w:pPr>
              <w:rPr>
                <w:sz w:val="18"/>
                <w:szCs w:val="18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4.3. Protéger la santé, le bien-être et l’environnement</w:t>
            </w:r>
          </w:p>
        </w:tc>
      </w:tr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</w:pPr>
            <w:r w:rsidRPr="002558D0"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  <w:t xml:space="preserve">Bloc de compétences 3 – Administrer le personnel – </w:t>
            </w:r>
          </w:p>
          <w:p w:rsidR="00BC5930" w:rsidRPr="002558D0" w:rsidRDefault="00BC5930" w:rsidP="00BC5930">
            <w:pPr>
              <w:pStyle w:val="Titre3"/>
              <w:spacing w:before="0" w:after="0"/>
              <w:ind w:left="284" w:right="113"/>
              <w:outlineLvl w:val="2"/>
              <w:rPr>
                <w:rFonts w:ascii="Arial Narrow" w:eastAsia="Calibri" w:hAnsi="Arial Narrow"/>
                <w:b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3.2. Suivi organisationnel et financier de l’activité du personnel 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7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Suivi des temps de travail des personnels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7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Préparation et suivi des déplacements des personnels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7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Préparation et suivi de la paie et des déclarations sociales</w:t>
            </w:r>
          </w:p>
          <w:p w:rsidR="00BC5930" w:rsidRPr="002558D0" w:rsidRDefault="00BC5930" w:rsidP="00BC5930">
            <w:pPr>
              <w:ind w:right="113"/>
              <w:rPr>
                <w:rFonts w:ascii="Arial Narrow" w:hAnsi="Arial Narrow" w:cs="Calibri"/>
                <w:sz w:val="18"/>
                <w:szCs w:val="18"/>
              </w:rPr>
            </w:pPr>
          </w:p>
          <w:p w:rsidR="00BC5930" w:rsidRPr="002558D0" w:rsidRDefault="00BC5930" w:rsidP="00BC5930">
            <w:pPr>
              <w:rPr>
                <w:sz w:val="18"/>
                <w:szCs w:val="18"/>
              </w:rPr>
            </w:pPr>
          </w:p>
        </w:tc>
        <w:tc>
          <w:tcPr>
            <w:tcW w:w="5228" w:type="dxa"/>
          </w:tcPr>
          <w:p w:rsidR="00BC5930" w:rsidRPr="002558D0" w:rsidRDefault="00BC5930" w:rsidP="00BC5930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EAEF85B" wp14:editId="797AA1A2">
                  <wp:extent cx="287016" cy="2190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4.1. Sécuriser l’environnement numérique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4.2. Protéger les données personnelles et la vie privée </w:t>
            </w:r>
          </w:p>
          <w:p w:rsidR="00BC5930" w:rsidRPr="002558D0" w:rsidRDefault="00BC5930" w:rsidP="00BC5930">
            <w:pPr>
              <w:tabs>
                <w:tab w:val="left" w:pos="181"/>
              </w:tabs>
              <w:ind w:left="338" w:right="113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4.3. Protéger la santé, le bien-être et l’environnement</w:t>
            </w:r>
          </w:p>
        </w:tc>
      </w:tr>
      <w:tr w:rsidR="00BC5930" w:rsidRPr="002558D0" w:rsidTr="006533B2">
        <w:tc>
          <w:tcPr>
            <w:tcW w:w="5228" w:type="dxa"/>
          </w:tcPr>
          <w:p w:rsidR="00BC5930" w:rsidRPr="002558D0" w:rsidRDefault="00BC5930" w:rsidP="00BC5930">
            <w:pPr>
              <w:pStyle w:val="Titre3"/>
              <w:spacing w:before="0" w:after="0"/>
              <w:ind w:right="113"/>
              <w:outlineLvl w:val="2"/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</w:pPr>
            <w:r w:rsidRPr="002558D0">
              <w:rPr>
                <w:rFonts w:ascii="Arial Narrow" w:eastAsia="Calibri" w:hAnsi="Arial Narrow"/>
                <w:color w:val="ED7D31" w:themeColor="accent2"/>
                <w:sz w:val="18"/>
                <w:szCs w:val="18"/>
              </w:rPr>
              <w:t>Bloc de compétences 3 – Administrer le personnel</w:t>
            </w:r>
          </w:p>
          <w:p w:rsidR="00BC5930" w:rsidRPr="002558D0" w:rsidRDefault="00BC5930" w:rsidP="002558D0">
            <w:pPr>
              <w:pStyle w:val="Titre3"/>
              <w:spacing w:before="0" w:after="0"/>
              <w:ind w:left="284" w:right="113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3.3. Participation à l’activité sociale de l’organisation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8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Communication des informations sociales à destination des personnels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8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Participation à la mise en place d’actions sociales et culturelles</w:t>
            </w:r>
          </w:p>
          <w:p w:rsidR="00BC5930" w:rsidRPr="002558D0" w:rsidRDefault="00BC5930" w:rsidP="002558D0">
            <w:pPr>
              <w:pStyle w:val="Paragraphedeliste"/>
              <w:numPr>
                <w:ilvl w:val="0"/>
                <w:numId w:val="8"/>
              </w:numPr>
              <w:ind w:left="589" w:right="113" w:hanging="1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558D0">
              <w:rPr>
                <w:rFonts w:ascii="Arial Narrow" w:hAnsi="Arial Narrow" w:cs="Arial"/>
                <w:bCs/>
                <w:sz w:val="18"/>
                <w:szCs w:val="18"/>
              </w:rPr>
              <w:t>Mise à jour de tableaux de bord sociaux</w:t>
            </w:r>
          </w:p>
          <w:p w:rsidR="00BC5930" w:rsidRPr="002558D0" w:rsidRDefault="00BC5930" w:rsidP="006533B2">
            <w:pPr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5228" w:type="dxa"/>
          </w:tcPr>
          <w:p w:rsidR="00BC5930" w:rsidRPr="002558D0" w:rsidRDefault="00BC5930" w:rsidP="006533B2">
            <w:pPr>
              <w:tabs>
                <w:tab w:val="left" w:pos="181"/>
              </w:tabs>
              <w:ind w:right="113"/>
              <w:rPr>
                <w:rFonts w:ascii="Arial Narrow" w:hAnsi="Arial Narrow"/>
                <w:sz w:val="18"/>
                <w:szCs w:val="18"/>
              </w:rPr>
            </w:pPr>
            <w:r w:rsidRPr="002558D0">
              <w:rPr>
                <w:rFonts w:ascii="Arial Narrow" w:hAnsi="Arial Narrow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E4E0E9A" wp14:editId="6392D387">
                  <wp:extent cx="287016" cy="2190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x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0" t="10606" r="7500" b="9596"/>
                          <a:stretch/>
                        </pic:blipFill>
                        <pic:spPr bwMode="auto">
                          <a:xfrm>
                            <a:off x="0" y="0"/>
                            <a:ext cx="304360" cy="232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1.2. Gérer des données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1.3. Traiter des données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2.1. Interagir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2.2. Partager et publier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2.3. Collaborer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3.1. Développer des documents textuels </w:t>
            </w:r>
          </w:p>
          <w:p w:rsidR="00BC5930" w:rsidRPr="002558D0" w:rsidRDefault="00BC5930" w:rsidP="00BC5930">
            <w:pPr>
              <w:ind w:left="338"/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3.2. Développer </w:t>
            </w:r>
            <w:proofErr w:type="gramStart"/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des documents multimédia</w:t>
            </w:r>
            <w:proofErr w:type="gramEnd"/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 xml:space="preserve"> </w:t>
            </w:r>
          </w:p>
          <w:p w:rsidR="00BC5930" w:rsidRPr="002558D0" w:rsidRDefault="00BC5930" w:rsidP="00BC5930">
            <w:pPr>
              <w:ind w:left="338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2558D0">
              <w:rPr>
                <w:rFonts w:ascii="Arial Narrow" w:eastAsia="Times New Roman" w:hAnsi="Arial Narrow" w:cs="Calibri"/>
                <w:sz w:val="18"/>
                <w:szCs w:val="18"/>
                <w:lang w:eastAsia="fr-FR"/>
              </w:rPr>
              <w:t>3.3. Adapter les documents à leur finalité</w:t>
            </w:r>
          </w:p>
        </w:tc>
      </w:tr>
    </w:tbl>
    <w:p w:rsidR="00BC5930" w:rsidRDefault="00BC5930"/>
    <w:sectPr w:rsidR="00BC5930" w:rsidSect="00BC5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D86"/>
    <w:multiLevelType w:val="hybridMultilevel"/>
    <w:tmpl w:val="14C0779A"/>
    <w:lvl w:ilvl="0" w:tplc="411A0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440FD"/>
    <w:multiLevelType w:val="hybridMultilevel"/>
    <w:tmpl w:val="CB8E8270"/>
    <w:lvl w:ilvl="0" w:tplc="850484E0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2ED54F4D"/>
    <w:multiLevelType w:val="hybridMultilevel"/>
    <w:tmpl w:val="EEEC8990"/>
    <w:lvl w:ilvl="0" w:tplc="411A0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9076F"/>
    <w:multiLevelType w:val="hybridMultilevel"/>
    <w:tmpl w:val="9EA488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A534C"/>
    <w:multiLevelType w:val="hybridMultilevel"/>
    <w:tmpl w:val="871CE2D6"/>
    <w:lvl w:ilvl="0" w:tplc="36B074E6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472C4" w:themeColor="accent5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5" w15:restartNumberingAfterBreak="0">
    <w:nsid w:val="65E55AA7"/>
    <w:multiLevelType w:val="hybridMultilevel"/>
    <w:tmpl w:val="EDDEEC6E"/>
    <w:lvl w:ilvl="0" w:tplc="C712A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5A5A5" w:themeColor="accent3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BB5204"/>
    <w:multiLevelType w:val="hybridMultilevel"/>
    <w:tmpl w:val="3B9AF160"/>
    <w:lvl w:ilvl="0" w:tplc="411A0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12477"/>
    <w:multiLevelType w:val="hybridMultilevel"/>
    <w:tmpl w:val="11FC687A"/>
    <w:lvl w:ilvl="0" w:tplc="34FCF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30"/>
    <w:rsid w:val="002558D0"/>
    <w:rsid w:val="006533B2"/>
    <w:rsid w:val="00B61A25"/>
    <w:rsid w:val="00BC5930"/>
    <w:rsid w:val="00F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5436"/>
  <w15:chartTrackingRefBased/>
  <w15:docId w15:val="{3ACA6481-AC78-4F36-9EAE-4378BD7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30"/>
    <w:pPr>
      <w:spacing w:after="0" w:line="240" w:lineRule="auto"/>
    </w:pPr>
  </w:style>
  <w:style w:type="paragraph" w:styleId="Titre3">
    <w:name w:val="heading 3"/>
    <w:basedOn w:val="Normal"/>
    <w:next w:val="Normal"/>
    <w:link w:val="Titre3Car"/>
    <w:uiPriority w:val="99"/>
    <w:qFormat/>
    <w:rsid w:val="00BC5930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mallCap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9"/>
    <w:rsid w:val="00BC5930"/>
    <w:rPr>
      <w:rFonts w:ascii="Calibri" w:eastAsia="Times New Roman" w:hAnsi="Calibri" w:cs="Times New Roman"/>
      <w:b/>
      <w:bCs/>
      <w:smallCap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C5930"/>
    <w:pPr>
      <w:ind w:left="720"/>
      <w:contextualSpacing/>
    </w:pPr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mmazoyer2</dc:creator>
  <cp:keywords/>
  <dc:description/>
  <cp:lastModifiedBy>mmazoyer2</cp:lastModifiedBy>
  <cp:revision>2</cp:revision>
  <dcterms:created xsi:type="dcterms:W3CDTF">2020-03-02T20:45:00Z</dcterms:created>
  <dcterms:modified xsi:type="dcterms:W3CDTF">2020-06-03T14:12:00Z</dcterms:modified>
</cp:coreProperties>
</file>