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9E19F" w14:textId="24B943FA" w:rsidR="00140087" w:rsidRDefault="00140087" w:rsidP="00140087">
      <w:pPr>
        <w:jc w:val="center"/>
        <w:rPr>
          <w:b/>
          <w:bCs/>
        </w:rPr>
      </w:pPr>
      <w:r>
        <w:rPr>
          <w:b/>
          <w:bCs/>
        </w:rPr>
        <w:t>P</w:t>
      </w:r>
      <w:r w:rsidRPr="00140087">
        <w:rPr>
          <w:b/>
          <w:bCs/>
        </w:rPr>
        <w:t>rotocole ELISA simplifié</w:t>
      </w:r>
    </w:p>
    <w:p w14:paraId="15220FC0" w14:textId="77777777" w:rsidR="009559C9" w:rsidRPr="006401B8"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rPr>
      </w:pPr>
      <w:r w:rsidRPr="006401B8">
        <w:rPr>
          <w:rFonts w:ascii="Calibri" w:hAnsi="Calibri" w:cs="Calibri"/>
        </w:rPr>
        <w:t xml:space="preserve">L’intérêt général de la manipulation est de montrer (en une séance de TP) que l’on peut non seulement détecter mais aussi doser une protéine (ici un anticorps) dans une solution ou un sérum (un anticorps </w:t>
      </w:r>
      <w:proofErr w:type="spellStart"/>
      <w:r w:rsidRPr="006401B8">
        <w:rPr>
          <w:rFonts w:ascii="Calibri" w:hAnsi="Calibri" w:cs="Calibri"/>
        </w:rPr>
        <w:t>anti-HIV</w:t>
      </w:r>
      <w:proofErr w:type="spellEnd"/>
      <w:r w:rsidRPr="006401B8">
        <w:rPr>
          <w:rFonts w:ascii="Calibri" w:hAnsi="Calibri" w:cs="Calibri"/>
        </w:rPr>
        <w:t xml:space="preserve"> dans le cas du test du SIDA) grâce à la technique ELISA.</w:t>
      </w:r>
    </w:p>
    <w:p w14:paraId="56C2E3D5" w14:textId="77777777" w:rsidR="009559C9" w:rsidRPr="006401B8"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141413"/>
          <w:kern w:val="0"/>
        </w:rPr>
      </w:pPr>
    </w:p>
    <w:p w14:paraId="0DAB4D3B" w14:textId="77777777" w:rsidR="009559C9" w:rsidRPr="000D7053"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141413"/>
          <w:kern w:val="0"/>
        </w:rPr>
      </w:pPr>
      <w:r w:rsidRPr="000D7053">
        <w:rPr>
          <w:rFonts w:ascii="Calibri" w:hAnsi="Calibri" w:cs="Calibri"/>
          <w:color w:val="141413"/>
          <w:kern w:val="0"/>
        </w:rPr>
        <w:t>La β-Lactoglobuline bovine (</w:t>
      </w:r>
      <w:proofErr w:type="spellStart"/>
      <w:r w:rsidRPr="000D7053">
        <w:rPr>
          <w:rFonts w:ascii="Calibri" w:hAnsi="Calibri" w:cs="Calibri"/>
          <w:color w:val="141413"/>
          <w:kern w:val="0"/>
        </w:rPr>
        <w:t>Blg</w:t>
      </w:r>
      <w:proofErr w:type="spellEnd"/>
      <w:r w:rsidRPr="000D7053">
        <w:rPr>
          <w:rFonts w:ascii="Calibri" w:hAnsi="Calibri" w:cs="Calibri"/>
          <w:color w:val="141413"/>
          <w:kern w:val="0"/>
        </w:rPr>
        <w:t>)</w:t>
      </w:r>
    </w:p>
    <w:p w14:paraId="7FBE84A8" w14:textId="77777777" w:rsidR="009559C9" w:rsidRPr="000D7053"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141413"/>
          <w:kern w:val="0"/>
        </w:rPr>
      </w:pPr>
      <w:r w:rsidRPr="000D7053">
        <w:rPr>
          <w:rFonts w:ascii="Calibri" w:hAnsi="Calibri" w:cs="Calibri"/>
          <w:color w:val="141413"/>
          <w:kern w:val="0"/>
        </w:rPr>
        <w:t>C’est un des composants principaux du lait de vache. C’est, après la caséine la plus abondante des</w:t>
      </w:r>
      <w:r w:rsidRPr="006401B8">
        <w:rPr>
          <w:rFonts w:ascii="Calibri" w:hAnsi="Calibri" w:cs="Calibri"/>
          <w:color w:val="141413"/>
          <w:kern w:val="0"/>
        </w:rPr>
        <w:t xml:space="preserve"> </w:t>
      </w:r>
      <w:r w:rsidRPr="000D7053">
        <w:rPr>
          <w:rFonts w:ascii="Calibri" w:hAnsi="Calibri" w:cs="Calibri"/>
          <w:color w:val="141413"/>
          <w:kern w:val="0"/>
        </w:rPr>
        <w:t>protéines (environ 3 mg par litre de lait).</w:t>
      </w:r>
    </w:p>
    <w:p w14:paraId="71F9F92D" w14:textId="3D86AB09" w:rsidR="009559C9" w:rsidRPr="000D7053"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141413"/>
          <w:kern w:val="0"/>
        </w:rPr>
      </w:pPr>
      <w:r w:rsidRPr="000D7053">
        <w:rPr>
          <w:rFonts w:ascii="Calibri" w:hAnsi="Calibri" w:cs="Calibri"/>
          <w:color w:val="141413"/>
          <w:kern w:val="0"/>
        </w:rPr>
        <w:t>Elle est composée de 162 acides aminés pour une masse molaire de 183 000. Sa structure primaire</w:t>
      </w:r>
      <w:r w:rsidRPr="006401B8">
        <w:rPr>
          <w:rFonts w:ascii="Calibri" w:hAnsi="Calibri" w:cs="Calibri"/>
          <w:color w:val="141413"/>
          <w:kern w:val="0"/>
        </w:rPr>
        <w:t xml:space="preserve"> </w:t>
      </w:r>
      <w:r w:rsidRPr="000D7053">
        <w:rPr>
          <w:rFonts w:ascii="Calibri" w:hAnsi="Calibri" w:cs="Calibri"/>
          <w:color w:val="141413"/>
          <w:kern w:val="0"/>
        </w:rPr>
        <w:t xml:space="preserve">et tridimensionnelle </w:t>
      </w:r>
      <w:proofErr w:type="gramStart"/>
      <w:r w:rsidRPr="000D7053">
        <w:rPr>
          <w:rFonts w:ascii="Calibri" w:hAnsi="Calibri" w:cs="Calibri"/>
          <w:color w:val="141413"/>
          <w:kern w:val="0"/>
        </w:rPr>
        <w:t>ont</w:t>
      </w:r>
      <w:proofErr w:type="gramEnd"/>
      <w:r w:rsidRPr="000D7053">
        <w:rPr>
          <w:rFonts w:ascii="Calibri" w:hAnsi="Calibri" w:cs="Calibri"/>
          <w:color w:val="141413"/>
          <w:kern w:val="0"/>
        </w:rPr>
        <w:t xml:space="preserve"> été </w:t>
      </w:r>
      <w:proofErr w:type="spellStart"/>
      <w:proofErr w:type="gramStart"/>
      <w:r w:rsidRPr="000D7053">
        <w:rPr>
          <w:rFonts w:ascii="Calibri" w:hAnsi="Calibri" w:cs="Calibri"/>
          <w:color w:val="141413"/>
          <w:kern w:val="0"/>
        </w:rPr>
        <w:t>déterminées.Elle</w:t>
      </w:r>
      <w:proofErr w:type="spellEnd"/>
      <w:proofErr w:type="gramEnd"/>
      <w:r w:rsidRPr="000D7053">
        <w:rPr>
          <w:rFonts w:ascii="Calibri" w:hAnsi="Calibri" w:cs="Calibri"/>
          <w:color w:val="141413"/>
          <w:kern w:val="0"/>
        </w:rPr>
        <w:t xml:space="preserve"> appartient à la famille des </w:t>
      </w:r>
      <w:proofErr w:type="spellStart"/>
      <w:r w:rsidRPr="000D7053">
        <w:rPr>
          <w:rFonts w:ascii="Calibri" w:hAnsi="Calibri" w:cs="Calibri"/>
          <w:color w:val="141413"/>
          <w:kern w:val="0"/>
        </w:rPr>
        <w:t>Lipocalines</w:t>
      </w:r>
      <w:proofErr w:type="spellEnd"/>
      <w:r w:rsidRPr="000D7053">
        <w:rPr>
          <w:rFonts w:ascii="Calibri" w:hAnsi="Calibri" w:cs="Calibri"/>
          <w:color w:val="141413"/>
          <w:kern w:val="0"/>
        </w:rPr>
        <w:t xml:space="preserve"> capable de transporter des ligands hydrophobes.</w:t>
      </w:r>
      <w:r>
        <w:rPr>
          <w:rFonts w:ascii="Calibri" w:hAnsi="Calibri" w:cs="Calibri"/>
          <w:color w:val="141413"/>
          <w:kern w:val="0"/>
        </w:rPr>
        <w:t xml:space="preserve"> </w:t>
      </w:r>
      <w:r w:rsidRPr="000D7053">
        <w:rPr>
          <w:rFonts w:ascii="Calibri" w:hAnsi="Calibri" w:cs="Calibri"/>
          <w:color w:val="141413"/>
          <w:kern w:val="0"/>
        </w:rPr>
        <w:t>Sa fonction biologique serait d’assurer le transport du rétinol, un précurseur de la vitamine A.</w:t>
      </w:r>
    </w:p>
    <w:p w14:paraId="1DD9289D" w14:textId="77777777" w:rsidR="009559C9" w:rsidRPr="006401B8" w:rsidRDefault="009559C9" w:rsidP="009559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141413"/>
          <w:kern w:val="0"/>
        </w:rPr>
      </w:pPr>
      <w:r w:rsidRPr="000D7053">
        <w:rPr>
          <w:rFonts w:ascii="Calibri" w:hAnsi="Calibri" w:cs="Calibri"/>
          <w:color w:val="141413"/>
          <w:kern w:val="0"/>
        </w:rPr>
        <w:t>La β-Lactoglobuline n’est pas présente dans le lait humain et on la suspecte d’être responsable de</w:t>
      </w:r>
      <w:r w:rsidRPr="006401B8">
        <w:rPr>
          <w:rFonts w:ascii="Calibri" w:hAnsi="Calibri" w:cs="Calibri"/>
          <w:color w:val="141413"/>
          <w:kern w:val="0"/>
        </w:rPr>
        <w:t xml:space="preserve"> certaines allergies au lait observées chez les enfants.</w:t>
      </w:r>
    </w:p>
    <w:p w14:paraId="55400C3B" w14:textId="77777777" w:rsidR="009559C9" w:rsidRPr="00140087" w:rsidRDefault="009559C9" w:rsidP="009559C9">
      <w:pPr>
        <w:rPr>
          <w:b/>
          <w:bCs/>
        </w:rPr>
      </w:pPr>
    </w:p>
    <w:p w14:paraId="34A16642" w14:textId="77777777" w:rsidR="00140087" w:rsidRPr="00140087" w:rsidRDefault="00140087" w:rsidP="00140087">
      <w:proofErr w:type="gramStart"/>
      <w:r w:rsidRPr="00140087">
        <w:rPr>
          <w:b/>
          <w:bCs/>
        </w:rPr>
        <w:t>Objectif:</w:t>
      </w:r>
      <w:proofErr w:type="gramEnd"/>
      <w:r w:rsidRPr="00140087">
        <w:t xml:space="preserve"> Détecter la présence d'anticorps spécifiques à la BSA (Bovine </w:t>
      </w:r>
      <w:proofErr w:type="spellStart"/>
      <w:r w:rsidRPr="00140087">
        <w:t>Serum</w:t>
      </w:r>
      <w:proofErr w:type="spellEnd"/>
      <w:r w:rsidRPr="00140087">
        <w:t xml:space="preserve"> </w:t>
      </w:r>
      <w:proofErr w:type="spellStart"/>
      <w:r w:rsidRPr="00140087">
        <w:t>Albumin</w:t>
      </w:r>
      <w:proofErr w:type="spellEnd"/>
      <w:r w:rsidRPr="00140087">
        <w:t>) dans un sérum.</w:t>
      </w:r>
    </w:p>
    <w:p w14:paraId="2EDCAF1F" w14:textId="77777777" w:rsidR="00140087" w:rsidRPr="00140087" w:rsidRDefault="00140087" w:rsidP="00140087">
      <w:pPr>
        <w:spacing w:after="0"/>
      </w:pPr>
      <w:proofErr w:type="gramStart"/>
      <w:r w:rsidRPr="00140087">
        <w:rPr>
          <w:b/>
          <w:bCs/>
        </w:rPr>
        <w:t>Matériel:</w:t>
      </w:r>
      <w:proofErr w:type="gramEnd"/>
    </w:p>
    <w:p w14:paraId="6336F421" w14:textId="77777777" w:rsidR="00140087" w:rsidRPr="00140087" w:rsidRDefault="00140087" w:rsidP="00140087">
      <w:pPr>
        <w:numPr>
          <w:ilvl w:val="0"/>
          <w:numId w:val="1"/>
        </w:numPr>
        <w:spacing w:after="0"/>
      </w:pPr>
      <w:r w:rsidRPr="00140087">
        <w:t>Barrettes de 3 puits avec BSA fixée (</w:t>
      </w:r>
      <w:proofErr w:type="spellStart"/>
      <w:r w:rsidRPr="00140087">
        <w:t>coating</w:t>
      </w:r>
      <w:proofErr w:type="spellEnd"/>
      <w:r w:rsidRPr="00140087">
        <w:t xml:space="preserve"> déjà réalisé)</w:t>
      </w:r>
    </w:p>
    <w:p w14:paraId="4E4074D9" w14:textId="77777777" w:rsidR="00140087" w:rsidRPr="00140087" w:rsidRDefault="00140087" w:rsidP="00140087">
      <w:pPr>
        <w:numPr>
          <w:ilvl w:val="0"/>
          <w:numId w:val="1"/>
        </w:numPr>
        <w:spacing w:after="0"/>
      </w:pPr>
      <w:r w:rsidRPr="00140087">
        <w:t>Témoin négatif (sérum sans anticorps anti-BSA)</w:t>
      </w:r>
    </w:p>
    <w:p w14:paraId="19CF8106" w14:textId="77777777" w:rsidR="00140087" w:rsidRPr="00140087" w:rsidRDefault="00140087" w:rsidP="00140087">
      <w:pPr>
        <w:numPr>
          <w:ilvl w:val="0"/>
          <w:numId w:val="1"/>
        </w:numPr>
        <w:spacing w:after="0"/>
      </w:pPr>
      <w:r w:rsidRPr="00140087">
        <w:t>Témoin positif (sérum avec anticorps anti-BSA)</w:t>
      </w:r>
    </w:p>
    <w:p w14:paraId="48959500" w14:textId="77777777" w:rsidR="00140087" w:rsidRPr="00140087" w:rsidRDefault="00140087" w:rsidP="00140087">
      <w:pPr>
        <w:numPr>
          <w:ilvl w:val="0"/>
          <w:numId w:val="1"/>
        </w:numPr>
        <w:spacing w:after="0"/>
      </w:pPr>
      <w:r w:rsidRPr="00140087">
        <w:t>Sérum à tester</w:t>
      </w:r>
    </w:p>
    <w:p w14:paraId="5E368719" w14:textId="77777777" w:rsidR="00140087" w:rsidRPr="00140087" w:rsidRDefault="00140087" w:rsidP="00140087">
      <w:proofErr w:type="gramStart"/>
      <w:r w:rsidRPr="00140087">
        <w:rPr>
          <w:b/>
          <w:bCs/>
        </w:rPr>
        <w:t>Protocole:</w:t>
      </w:r>
      <w:proofErr w:type="gramEnd"/>
    </w:p>
    <w:p w14:paraId="6CE9A33F" w14:textId="77777777" w:rsidR="00140087" w:rsidRPr="00140087" w:rsidRDefault="00140087" w:rsidP="00140087">
      <w:pPr>
        <w:numPr>
          <w:ilvl w:val="0"/>
          <w:numId w:val="2"/>
        </w:numPr>
      </w:pPr>
      <w:proofErr w:type="gramStart"/>
      <w:r w:rsidRPr="00140087">
        <w:rPr>
          <w:b/>
          <w:bCs/>
        </w:rPr>
        <w:t>Préparation:</w:t>
      </w:r>
      <w:proofErr w:type="gramEnd"/>
    </w:p>
    <w:p w14:paraId="5A288792" w14:textId="1DDF9164" w:rsidR="00140087" w:rsidRPr="00140087" w:rsidRDefault="00140087" w:rsidP="00140087">
      <w:pPr>
        <w:numPr>
          <w:ilvl w:val="1"/>
          <w:numId w:val="2"/>
        </w:numPr>
        <w:spacing w:after="0"/>
      </w:pPr>
      <w:r w:rsidRPr="00140087">
        <w:t xml:space="preserve">Identifier les puits : </w:t>
      </w:r>
      <w:proofErr w:type="gramStart"/>
      <w:r w:rsidRPr="00140087">
        <w:t>1 ,</w:t>
      </w:r>
      <w:proofErr w:type="gramEnd"/>
      <w:r w:rsidRPr="00140087">
        <w:t xml:space="preserve"> </w:t>
      </w:r>
      <w:proofErr w:type="gramStart"/>
      <w:r w:rsidRPr="00140087">
        <w:t>2 ,</w:t>
      </w:r>
      <w:proofErr w:type="gramEnd"/>
      <w:r w:rsidRPr="00140087">
        <w:t xml:space="preserve"> 3 (sérum à tes</w:t>
      </w:r>
      <w:r>
        <w:t>ter)</w:t>
      </w:r>
    </w:p>
    <w:p w14:paraId="5FE5C43A" w14:textId="77777777" w:rsidR="00140087" w:rsidRPr="00140087" w:rsidRDefault="00140087" w:rsidP="00140087">
      <w:pPr>
        <w:numPr>
          <w:ilvl w:val="1"/>
          <w:numId w:val="2"/>
        </w:numPr>
        <w:spacing w:after="0"/>
      </w:pPr>
      <w:r w:rsidRPr="00140087">
        <w:t>Préparer le sérum à tester (choisir entre le témoin négatif et le témoin positif)</w:t>
      </w:r>
    </w:p>
    <w:p w14:paraId="0CA5DD42" w14:textId="77777777" w:rsidR="00140087" w:rsidRPr="00140087" w:rsidRDefault="00140087" w:rsidP="00140087">
      <w:pPr>
        <w:numPr>
          <w:ilvl w:val="0"/>
          <w:numId w:val="2"/>
        </w:numPr>
      </w:pPr>
      <w:r w:rsidRPr="00140087">
        <w:rPr>
          <w:b/>
          <w:bCs/>
        </w:rPr>
        <w:t xml:space="preserve">Incubation du </w:t>
      </w:r>
      <w:proofErr w:type="gramStart"/>
      <w:r w:rsidRPr="00140087">
        <w:rPr>
          <w:b/>
          <w:bCs/>
        </w:rPr>
        <w:t>sérum:</w:t>
      </w:r>
      <w:proofErr w:type="gramEnd"/>
    </w:p>
    <w:p w14:paraId="1055E046" w14:textId="7D37E323" w:rsidR="00140087" w:rsidRPr="00140087" w:rsidRDefault="00140087" w:rsidP="00140087">
      <w:pPr>
        <w:numPr>
          <w:ilvl w:val="1"/>
          <w:numId w:val="2"/>
        </w:numPr>
        <w:spacing w:after="0"/>
      </w:pPr>
      <w:r w:rsidRPr="00140087">
        <w:t>Déposer 80 µL (ou 2 gouttes) dans le puits 1</w:t>
      </w:r>
      <w:proofErr w:type="gramStart"/>
      <w:r>
        <w:t>puis ,</w:t>
      </w:r>
      <w:r w:rsidRPr="00140087">
        <w:t>dans</w:t>
      </w:r>
      <w:proofErr w:type="gramEnd"/>
      <w:r w:rsidRPr="00140087">
        <w:t xml:space="preserve"> le puits 2</w:t>
      </w:r>
      <w:r>
        <w:t xml:space="preserve"> et </w:t>
      </w:r>
      <w:r w:rsidRPr="00140087">
        <w:t>dans le puits 3</w:t>
      </w:r>
    </w:p>
    <w:p w14:paraId="4989A25D" w14:textId="77777777" w:rsidR="00140087" w:rsidRPr="00140087" w:rsidRDefault="00140087" w:rsidP="00140087">
      <w:pPr>
        <w:numPr>
          <w:ilvl w:val="1"/>
          <w:numId w:val="2"/>
        </w:numPr>
        <w:spacing w:after="0"/>
      </w:pPr>
      <w:r w:rsidRPr="00140087">
        <w:t>Incuber 15 minutes à température ambiante</w:t>
      </w:r>
    </w:p>
    <w:p w14:paraId="4026A7D2" w14:textId="77777777" w:rsidR="00140087" w:rsidRPr="00140087" w:rsidRDefault="00140087" w:rsidP="00140087">
      <w:pPr>
        <w:numPr>
          <w:ilvl w:val="0"/>
          <w:numId w:val="2"/>
        </w:numPr>
      </w:pPr>
      <w:proofErr w:type="gramStart"/>
      <w:r w:rsidRPr="00140087">
        <w:rPr>
          <w:b/>
          <w:bCs/>
        </w:rPr>
        <w:t>Lavage:</w:t>
      </w:r>
      <w:proofErr w:type="gramEnd"/>
    </w:p>
    <w:p w14:paraId="2600FB8E" w14:textId="77777777" w:rsidR="00140087" w:rsidRPr="00140087" w:rsidRDefault="00140087" w:rsidP="00140087">
      <w:pPr>
        <w:numPr>
          <w:ilvl w:val="1"/>
          <w:numId w:val="2"/>
        </w:numPr>
        <w:spacing w:after="0"/>
      </w:pPr>
      <w:r w:rsidRPr="00140087">
        <w:t>Vider les puits par retournement en évitant toute contamination entre les puits</w:t>
      </w:r>
    </w:p>
    <w:p w14:paraId="0EBF4F61" w14:textId="77777777" w:rsidR="00140087" w:rsidRPr="00140087" w:rsidRDefault="00140087" w:rsidP="00140087">
      <w:pPr>
        <w:numPr>
          <w:ilvl w:val="1"/>
          <w:numId w:val="2"/>
        </w:numPr>
        <w:spacing w:after="0"/>
      </w:pPr>
      <w:r w:rsidRPr="00140087">
        <w:t xml:space="preserve">Laver 2 fois avec du </w:t>
      </w:r>
      <w:r w:rsidRPr="00140087">
        <w:rPr>
          <w:highlight w:val="yellow"/>
        </w:rPr>
        <w:t>PBS-Tween</w:t>
      </w:r>
      <w:r w:rsidRPr="00140087">
        <w:t xml:space="preserve"> en remplissant les puits sans les faire déborder</w:t>
      </w:r>
    </w:p>
    <w:p w14:paraId="5C54F914" w14:textId="77777777" w:rsidR="00140087" w:rsidRPr="00140087" w:rsidRDefault="00140087" w:rsidP="00140087">
      <w:pPr>
        <w:numPr>
          <w:ilvl w:val="1"/>
          <w:numId w:val="2"/>
        </w:numPr>
        <w:spacing w:after="0"/>
      </w:pPr>
      <w:r w:rsidRPr="00140087">
        <w:t>Vider les puits par retournement en évitant toute contamination</w:t>
      </w:r>
    </w:p>
    <w:p w14:paraId="42E460FD" w14:textId="77777777" w:rsidR="00140087" w:rsidRPr="00140087" w:rsidRDefault="00140087" w:rsidP="00140087">
      <w:pPr>
        <w:numPr>
          <w:ilvl w:val="0"/>
          <w:numId w:val="2"/>
        </w:numPr>
      </w:pPr>
      <w:r w:rsidRPr="00140087">
        <w:rPr>
          <w:b/>
          <w:bCs/>
        </w:rPr>
        <w:t xml:space="preserve">Incubation de l'anticorps </w:t>
      </w:r>
      <w:proofErr w:type="gramStart"/>
      <w:r w:rsidRPr="00140087">
        <w:rPr>
          <w:b/>
          <w:bCs/>
        </w:rPr>
        <w:t>conjugué:</w:t>
      </w:r>
      <w:proofErr w:type="gramEnd"/>
    </w:p>
    <w:p w14:paraId="4E6992E4" w14:textId="77777777" w:rsidR="00140087" w:rsidRPr="00140087" w:rsidRDefault="00140087" w:rsidP="00D72F5E">
      <w:pPr>
        <w:numPr>
          <w:ilvl w:val="1"/>
          <w:numId w:val="2"/>
        </w:numPr>
        <w:spacing w:after="0"/>
      </w:pPr>
      <w:r w:rsidRPr="00140087">
        <w:t>Déposer 80 µL (ou 2 gouttes) d'anticorps de détection dans chaque puits</w:t>
      </w:r>
    </w:p>
    <w:p w14:paraId="43350B85" w14:textId="77777777" w:rsidR="00140087" w:rsidRPr="00140087" w:rsidRDefault="00140087" w:rsidP="00D72F5E">
      <w:pPr>
        <w:numPr>
          <w:ilvl w:val="1"/>
          <w:numId w:val="2"/>
        </w:numPr>
        <w:spacing w:after="0"/>
      </w:pPr>
      <w:r w:rsidRPr="00140087">
        <w:t>Incuber 15 minutes à température ambiante</w:t>
      </w:r>
    </w:p>
    <w:p w14:paraId="6507CD39" w14:textId="77777777" w:rsidR="00140087" w:rsidRPr="00140087" w:rsidRDefault="00140087" w:rsidP="00D72F5E">
      <w:pPr>
        <w:numPr>
          <w:ilvl w:val="1"/>
          <w:numId w:val="2"/>
        </w:numPr>
        <w:spacing w:after="0"/>
      </w:pPr>
      <w:r w:rsidRPr="00140087">
        <w:t>Vider les puits en évitant toute contamination</w:t>
      </w:r>
    </w:p>
    <w:p w14:paraId="7758F0BA" w14:textId="77777777" w:rsidR="00140087" w:rsidRPr="00140087" w:rsidRDefault="00140087" w:rsidP="00D72F5E">
      <w:pPr>
        <w:numPr>
          <w:ilvl w:val="1"/>
          <w:numId w:val="2"/>
        </w:numPr>
        <w:spacing w:after="0"/>
      </w:pPr>
      <w:r w:rsidRPr="00140087">
        <w:t xml:space="preserve">Laver 2 fois avec du </w:t>
      </w:r>
      <w:r w:rsidRPr="00140087">
        <w:rPr>
          <w:highlight w:val="yellow"/>
        </w:rPr>
        <w:t>PBS-Tween</w:t>
      </w:r>
    </w:p>
    <w:p w14:paraId="2A17F46D" w14:textId="77777777" w:rsidR="00140087" w:rsidRPr="00140087" w:rsidRDefault="00140087" w:rsidP="00D72F5E">
      <w:pPr>
        <w:numPr>
          <w:ilvl w:val="1"/>
          <w:numId w:val="2"/>
        </w:numPr>
        <w:spacing w:after="0"/>
      </w:pPr>
      <w:r w:rsidRPr="00140087">
        <w:lastRenderedPageBreak/>
        <w:t>Vider les puits par retournement en évitant toute contamination</w:t>
      </w:r>
    </w:p>
    <w:p w14:paraId="7408BFCD" w14:textId="77777777" w:rsidR="00140087" w:rsidRPr="00140087" w:rsidRDefault="00140087" w:rsidP="00140087">
      <w:pPr>
        <w:numPr>
          <w:ilvl w:val="0"/>
          <w:numId w:val="2"/>
        </w:numPr>
      </w:pPr>
      <w:proofErr w:type="gramStart"/>
      <w:r w:rsidRPr="00140087">
        <w:rPr>
          <w:b/>
          <w:bCs/>
        </w:rPr>
        <w:t>Révélation:</w:t>
      </w:r>
      <w:proofErr w:type="gramEnd"/>
    </w:p>
    <w:p w14:paraId="0EB3233F" w14:textId="77777777" w:rsidR="00140087" w:rsidRPr="00140087" w:rsidRDefault="00140087" w:rsidP="00D72F5E">
      <w:pPr>
        <w:numPr>
          <w:ilvl w:val="1"/>
          <w:numId w:val="2"/>
        </w:numPr>
        <w:spacing w:after="0"/>
      </w:pPr>
      <w:r w:rsidRPr="00140087">
        <w:t xml:space="preserve">Vérifier que </w:t>
      </w:r>
      <w:r w:rsidRPr="00140087">
        <w:rPr>
          <w:highlight w:val="green"/>
        </w:rPr>
        <w:t>la solution de TMB est incolore</w:t>
      </w:r>
    </w:p>
    <w:p w14:paraId="095BE076" w14:textId="77777777" w:rsidR="00140087" w:rsidRPr="00140087" w:rsidRDefault="00140087" w:rsidP="00D72F5E">
      <w:pPr>
        <w:numPr>
          <w:ilvl w:val="1"/>
          <w:numId w:val="2"/>
        </w:numPr>
        <w:spacing w:after="0"/>
      </w:pPr>
      <w:r w:rsidRPr="00140087">
        <w:t xml:space="preserve">Déposer </w:t>
      </w:r>
      <w:r w:rsidRPr="00140087">
        <w:rPr>
          <w:highlight w:val="green"/>
        </w:rPr>
        <w:t>80 µL (ou 2 gouttes) de TMB</w:t>
      </w:r>
      <w:r w:rsidRPr="00140087">
        <w:t xml:space="preserve"> dans chaque puits</w:t>
      </w:r>
    </w:p>
    <w:p w14:paraId="24BEC7AA" w14:textId="77777777" w:rsidR="00140087" w:rsidRPr="00140087" w:rsidRDefault="00140087" w:rsidP="00D72F5E">
      <w:pPr>
        <w:numPr>
          <w:ilvl w:val="1"/>
          <w:numId w:val="2"/>
        </w:numPr>
        <w:spacing w:after="0"/>
      </w:pPr>
      <w:r w:rsidRPr="00140087">
        <w:t>Incuber 5 minutes à température ambiante</w:t>
      </w:r>
    </w:p>
    <w:p w14:paraId="45FE9275" w14:textId="77777777" w:rsidR="00140087" w:rsidRPr="00140087" w:rsidRDefault="00140087" w:rsidP="00D72F5E">
      <w:pPr>
        <w:numPr>
          <w:ilvl w:val="0"/>
          <w:numId w:val="2"/>
        </w:numPr>
        <w:spacing w:after="0"/>
      </w:pPr>
      <w:r w:rsidRPr="00140087">
        <w:rPr>
          <w:b/>
          <w:bCs/>
        </w:rPr>
        <w:t xml:space="preserve">Observation des </w:t>
      </w:r>
      <w:proofErr w:type="gramStart"/>
      <w:r w:rsidRPr="00140087">
        <w:rPr>
          <w:b/>
          <w:bCs/>
        </w:rPr>
        <w:t>résultats:</w:t>
      </w:r>
      <w:proofErr w:type="gramEnd"/>
    </w:p>
    <w:p w14:paraId="52457A34" w14:textId="77777777" w:rsidR="00140087" w:rsidRPr="00140087" w:rsidRDefault="00140087" w:rsidP="00D72F5E">
      <w:pPr>
        <w:numPr>
          <w:ilvl w:val="1"/>
          <w:numId w:val="2"/>
        </w:numPr>
        <w:spacing w:after="0"/>
      </w:pPr>
      <w:r w:rsidRPr="00140087">
        <w:t>Observer l'apparition d'une coloration bleue dans les puits.</w:t>
      </w:r>
    </w:p>
    <w:p w14:paraId="4E6E05B7" w14:textId="77777777" w:rsidR="00140087" w:rsidRPr="00140087" w:rsidRDefault="00140087" w:rsidP="00D72F5E">
      <w:pPr>
        <w:numPr>
          <w:ilvl w:val="1"/>
          <w:numId w:val="2"/>
        </w:numPr>
        <w:spacing w:after="0"/>
      </w:pPr>
      <w:r w:rsidRPr="00140087">
        <w:t>Un puits bleu indique la présence d'anticorps anti-BSA.</w:t>
      </w:r>
    </w:p>
    <w:p w14:paraId="6DDE1BBD" w14:textId="77777777" w:rsidR="00140087" w:rsidRDefault="00140087" w:rsidP="00D72F5E">
      <w:pPr>
        <w:numPr>
          <w:ilvl w:val="1"/>
          <w:numId w:val="2"/>
        </w:numPr>
        <w:spacing w:after="0"/>
      </w:pPr>
      <w:r w:rsidRPr="00140087">
        <w:t>Comparer l'intensité de la coloration du puits 3 avec les témoins positif et négatif.</w:t>
      </w:r>
    </w:p>
    <w:p w14:paraId="2E7A1D24" w14:textId="77777777" w:rsidR="00C86963" w:rsidRPr="00140087" w:rsidRDefault="00C86963" w:rsidP="00C86963">
      <w:pPr>
        <w:spacing w:after="0"/>
        <w:ind w:left="1440"/>
      </w:pPr>
    </w:p>
    <w:p w14:paraId="7CDB0ED4" w14:textId="27E4DDF3" w:rsidR="00140087" w:rsidRPr="00140087" w:rsidRDefault="00140087" w:rsidP="00D72F5E">
      <w:pPr>
        <w:pStyle w:val="Paragraphedeliste"/>
        <w:numPr>
          <w:ilvl w:val="0"/>
          <w:numId w:val="2"/>
        </w:numPr>
      </w:pPr>
      <w:r w:rsidRPr="00D72F5E">
        <w:rPr>
          <w:b/>
          <w:bCs/>
        </w:rPr>
        <w:t xml:space="preserve">Interpréter en justifiant la couleur et préciser </w:t>
      </w:r>
      <w:proofErr w:type="gramStart"/>
      <w:r w:rsidRPr="00D72F5E">
        <w:rPr>
          <w:b/>
          <w:bCs/>
        </w:rPr>
        <w:t>si il</w:t>
      </w:r>
      <w:proofErr w:type="gramEnd"/>
      <w:r w:rsidRPr="00D72F5E">
        <w:rPr>
          <w:b/>
          <w:bCs/>
        </w:rPr>
        <w:t xml:space="preserve"> s’agit un témoin négatif, positif et conclure </w:t>
      </w:r>
    </w:p>
    <w:p w14:paraId="7AD4CDE1" w14:textId="435BABA0" w:rsidR="00140087" w:rsidRPr="00140087" w:rsidRDefault="00140087" w:rsidP="00140087">
      <w:pPr>
        <w:numPr>
          <w:ilvl w:val="0"/>
          <w:numId w:val="3"/>
        </w:numPr>
      </w:pPr>
      <w:r w:rsidRPr="00140087">
        <w:rPr>
          <w:b/>
          <w:bCs/>
        </w:rPr>
        <w:t>Puits 1</w:t>
      </w:r>
      <w:r>
        <w:rPr>
          <w:b/>
          <w:bCs/>
        </w:rPr>
        <w:t> :</w:t>
      </w:r>
    </w:p>
    <w:p w14:paraId="50EB1C1C" w14:textId="64B7710D" w:rsidR="00140087" w:rsidRPr="00140087" w:rsidRDefault="00140087" w:rsidP="00140087">
      <w:pPr>
        <w:numPr>
          <w:ilvl w:val="0"/>
          <w:numId w:val="3"/>
        </w:numPr>
      </w:pPr>
      <w:r w:rsidRPr="00140087">
        <w:rPr>
          <w:b/>
          <w:bCs/>
        </w:rPr>
        <w:t>Puits 2</w:t>
      </w:r>
      <w:r>
        <w:rPr>
          <w:b/>
          <w:bCs/>
        </w:rPr>
        <w:t> :</w:t>
      </w:r>
    </w:p>
    <w:p w14:paraId="66A24340" w14:textId="77777777" w:rsidR="00140087" w:rsidRPr="00140087" w:rsidRDefault="00140087" w:rsidP="00140087">
      <w:pPr>
        <w:numPr>
          <w:ilvl w:val="0"/>
          <w:numId w:val="3"/>
        </w:numPr>
      </w:pPr>
      <w:r w:rsidRPr="00140087">
        <w:rPr>
          <w:b/>
          <w:bCs/>
        </w:rPr>
        <w:t>Puits 3 (sérum à tester) :</w:t>
      </w:r>
      <w:r w:rsidRPr="00140087">
        <w:t xml:space="preserve"> </w:t>
      </w:r>
    </w:p>
    <w:p w14:paraId="79FAC95C" w14:textId="77777777" w:rsidR="00140087" w:rsidRPr="00140087" w:rsidRDefault="00140087" w:rsidP="00140087">
      <w:pPr>
        <w:numPr>
          <w:ilvl w:val="1"/>
          <w:numId w:val="3"/>
        </w:numPr>
      </w:pPr>
      <w:r w:rsidRPr="00140087">
        <w:t>Si la coloration est similaire au puits 2, le sérum contient des anticorps anti-BSA.</w:t>
      </w:r>
    </w:p>
    <w:p w14:paraId="250BC9D5" w14:textId="77777777" w:rsidR="00140087" w:rsidRDefault="00140087" w:rsidP="00140087">
      <w:pPr>
        <w:numPr>
          <w:ilvl w:val="1"/>
          <w:numId w:val="3"/>
        </w:numPr>
      </w:pPr>
      <w:r w:rsidRPr="00140087">
        <w:t>Si la coloration est similaire au puits 1, le sérum ne contient pas d'anticorps anti-BSA.</w:t>
      </w:r>
    </w:p>
    <w:p w14:paraId="7935247C" w14:textId="3B2AE724" w:rsidR="00140087" w:rsidRDefault="00D72F5E" w:rsidP="00D72F5E">
      <w:pPr>
        <w:spacing w:after="260"/>
        <w:ind w:right="466" w:firstLine="360"/>
      </w:pPr>
      <w:r w:rsidRPr="00D72F5E">
        <w:rPr>
          <w:b/>
          <w:bCs/>
        </w:rPr>
        <w:t>8.</w:t>
      </w:r>
      <w:r w:rsidR="00140087" w:rsidRPr="00D72F5E">
        <w:rPr>
          <w:b/>
          <w:bCs/>
        </w:rPr>
        <w:t xml:space="preserve"> Reporter</w:t>
      </w:r>
      <w:r w:rsidR="00140087">
        <w:t xml:space="preserve"> sur la copie les annotations correspondant aux repères 1 à 5</w:t>
      </w:r>
      <w:r w:rsidR="00140087" w:rsidRPr="00D72F5E">
        <w:rPr>
          <w:b/>
        </w:rPr>
        <w:t xml:space="preserve"> </w:t>
      </w:r>
      <w:r w:rsidR="00140087">
        <w:t>du</w:t>
      </w:r>
      <w:r w:rsidR="00140087" w:rsidRPr="00D72F5E">
        <w:rPr>
          <w:b/>
        </w:rPr>
        <w:t xml:space="preserve"> document 2A</w:t>
      </w:r>
      <w:r w:rsidR="00140087">
        <w:t>,</w:t>
      </w:r>
      <w:r w:rsidR="00140087" w:rsidRPr="00D72F5E">
        <w:rPr>
          <w:b/>
        </w:rPr>
        <w:t xml:space="preserve"> </w:t>
      </w:r>
      <w:r w:rsidR="00140087">
        <w:t xml:space="preserve">représentant un schéma d’anticorps.  </w:t>
      </w:r>
      <w:r w:rsidR="00140087">
        <w:rPr>
          <w:noProof/>
        </w:rPr>
        <w:drawing>
          <wp:inline distT="0" distB="0" distL="0" distR="0" wp14:anchorId="44E65735" wp14:editId="08820063">
            <wp:extent cx="2087962" cy="2156420"/>
            <wp:effectExtent l="0" t="0" r="0" b="3175"/>
            <wp:docPr id="2373" name="Picture 2373" descr="Une image contenant croquis, dessin, conception, art&#10;&#10;Description générée automatiquement"/>
            <wp:cNvGraphicFramePr/>
            <a:graphic xmlns:a="http://schemas.openxmlformats.org/drawingml/2006/main">
              <a:graphicData uri="http://schemas.openxmlformats.org/drawingml/2006/picture">
                <pic:pic xmlns:pic="http://schemas.openxmlformats.org/drawingml/2006/picture">
                  <pic:nvPicPr>
                    <pic:cNvPr id="2373" name="Picture 2373" descr="Une image contenant croquis, dessin, conception, art&#10;&#10;Description générée automatiquement"/>
                    <pic:cNvPicPr/>
                  </pic:nvPicPr>
                  <pic:blipFill>
                    <a:blip r:embed="rId7"/>
                    <a:stretch>
                      <a:fillRect/>
                    </a:stretch>
                  </pic:blipFill>
                  <pic:spPr>
                    <a:xfrm>
                      <a:off x="0" y="0"/>
                      <a:ext cx="2118882" cy="2188354"/>
                    </a:xfrm>
                    <a:prstGeom prst="rect">
                      <a:avLst/>
                    </a:prstGeom>
                  </pic:spPr>
                </pic:pic>
              </a:graphicData>
            </a:graphic>
          </wp:inline>
        </w:drawing>
      </w:r>
    </w:p>
    <w:p w14:paraId="06C59C11" w14:textId="32FB1891" w:rsidR="00140087" w:rsidRDefault="00D72F5E" w:rsidP="00D72F5E">
      <w:pPr>
        <w:spacing w:after="234"/>
        <w:ind w:right="466"/>
      </w:pPr>
      <w:r w:rsidRPr="00D72F5E">
        <w:rPr>
          <w:b/>
          <w:bCs/>
        </w:rPr>
        <w:t>9.</w:t>
      </w:r>
      <w:r w:rsidR="00140087" w:rsidRPr="00D72F5E">
        <w:rPr>
          <w:b/>
          <w:bCs/>
        </w:rPr>
        <w:t xml:space="preserve"> Représenter</w:t>
      </w:r>
      <w:r w:rsidR="00140087">
        <w:t xml:space="preserve"> sur la copie à l’aide du </w:t>
      </w:r>
      <w:r w:rsidR="00140087" w:rsidRPr="00D72F5E">
        <w:rPr>
          <w:b/>
        </w:rPr>
        <w:t>document 2B</w:t>
      </w:r>
      <w:r w:rsidR="00140087">
        <w:t>,</w:t>
      </w:r>
      <w:r w:rsidR="00140087" w:rsidRPr="00D72F5E">
        <w:rPr>
          <w:b/>
        </w:rPr>
        <w:t xml:space="preserve"> </w:t>
      </w:r>
      <w:r w:rsidR="00140087">
        <w:t xml:space="preserve">l’assemblage moléculaire obtenu en fin de test positif (présence d’anticorps anti-gliadine dans le sérum) en utilisant les représentations schématiques proposées en légende. </w:t>
      </w:r>
    </w:p>
    <w:p w14:paraId="088464F9" w14:textId="4DC031DC" w:rsidR="00140087" w:rsidRPr="00140087" w:rsidRDefault="0081131C" w:rsidP="00140087">
      <w:r>
        <w:rPr>
          <w:noProof/>
        </w:rPr>
        <w:lastRenderedPageBreak/>
        <w:drawing>
          <wp:inline distT="0" distB="0" distL="0" distR="0" wp14:anchorId="6145A5BA" wp14:editId="44A842BC">
            <wp:extent cx="5320146" cy="2685876"/>
            <wp:effectExtent l="0" t="0" r="1270" b="0"/>
            <wp:docPr id="2063428730" name="Image 1"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28730" name="Image 1" descr="Une image contenant texte, Police, capture d’écran, lign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749" cy="2699306"/>
                    </a:xfrm>
                    <a:prstGeom prst="rect">
                      <a:avLst/>
                    </a:prstGeom>
                  </pic:spPr>
                </pic:pic>
              </a:graphicData>
            </a:graphic>
          </wp:inline>
        </w:drawing>
      </w:r>
    </w:p>
    <w:p w14:paraId="3E2911D9" w14:textId="77777777" w:rsidR="00140087" w:rsidRDefault="00140087"/>
    <w:sectPr w:rsidR="00140087" w:rsidSect="008A5277">
      <w:footerReference w:type="default" r:id="rId9"/>
      <w:pgSz w:w="11906" w:h="16838"/>
      <w:pgMar w:top="2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F433B" w14:textId="77777777" w:rsidR="00061473" w:rsidRDefault="00061473" w:rsidP="00C86963">
      <w:pPr>
        <w:spacing w:after="0" w:line="240" w:lineRule="auto"/>
      </w:pPr>
      <w:r>
        <w:separator/>
      </w:r>
    </w:p>
  </w:endnote>
  <w:endnote w:type="continuationSeparator" w:id="0">
    <w:p w14:paraId="42C1D497" w14:textId="77777777" w:rsidR="00061473" w:rsidRDefault="00061473" w:rsidP="00C8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19CE" w14:textId="77777777" w:rsidR="00C86963" w:rsidRDefault="00C86963">
    <w:pPr>
      <w:pStyle w:val="Pieddepage"/>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Pr>
        <w:caps/>
        <w:color w:val="156082" w:themeColor="accent1"/>
      </w:rPr>
      <w:t>2</w:t>
    </w:r>
    <w:r>
      <w:rPr>
        <w:caps/>
        <w:color w:val="156082" w:themeColor="accent1"/>
      </w:rPr>
      <w:fldChar w:fldCharType="end"/>
    </w:r>
  </w:p>
  <w:p w14:paraId="2569F24C" w14:textId="77777777" w:rsidR="00C86963" w:rsidRDefault="00C869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98D0E" w14:textId="77777777" w:rsidR="00061473" w:rsidRDefault="00061473" w:rsidP="00C86963">
      <w:pPr>
        <w:spacing w:after="0" w:line="240" w:lineRule="auto"/>
      </w:pPr>
      <w:r>
        <w:separator/>
      </w:r>
    </w:p>
  </w:footnote>
  <w:footnote w:type="continuationSeparator" w:id="0">
    <w:p w14:paraId="46F330D5" w14:textId="77777777" w:rsidR="00061473" w:rsidRDefault="00061473" w:rsidP="00C86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52168"/>
    <w:multiLevelType w:val="multilevel"/>
    <w:tmpl w:val="A368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367EE"/>
    <w:multiLevelType w:val="multilevel"/>
    <w:tmpl w:val="A3600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17DB3"/>
    <w:multiLevelType w:val="multilevel"/>
    <w:tmpl w:val="0626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2813">
    <w:abstractNumId w:val="0"/>
  </w:num>
  <w:num w:numId="2" w16cid:durableId="1897619787">
    <w:abstractNumId w:val="1"/>
  </w:num>
  <w:num w:numId="3" w16cid:durableId="59829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87"/>
    <w:rsid w:val="00061473"/>
    <w:rsid w:val="00140087"/>
    <w:rsid w:val="00546248"/>
    <w:rsid w:val="0081131C"/>
    <w:rsid w:val="008A5277"/>
    <w:rsid w:val="009559C9"/>
    <w:rsid w:val="00C86963"/>
    <w:rsid w:val="00D72F5E"/>
    <w:rsid w:val="00EE6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6C0788"/>
  <w15:chartTrackingRefBased/>
  <w15:docId w15:val="{102E0605-8761-C64E-83D6-357472BD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0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0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00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00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00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00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00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00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00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00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00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00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00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00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00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00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00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0087"/>
    <w:rPr>
      <w:rFonts w:eastAsiaTheme="majorEastAsia" w:cstheme="majorBidi"/>
      <w:color w:val="272727" w:themeColor="text1" w:themeTint="D8"/>
    </w:rPr>
  </w:style>
  <w:style w:type="paragraph" w:styleId="Titre">
    <w:name w:val="Title"/>
    <w:basedOn w:val="Normal"/>
    <w:next w:val="Normal"/>
    <w:link w:val="TitreCar"/>
    <w:uiPriority w:val="10"/>
    <w:qFormat/>
    <w:rsid w:val="00140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00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00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00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0087"/>
    <w:pPr>
      <w:spacing w:before="160"/>
      <w:jc w:val="center"/>
    </w:pPr>
    <w:rPr>
      <w:i/>
      <w:iCs/>
      <w:color w:val="404040" w:themeColor="text1" w:themeTint="BF"/>
    </w:rPr>
  </w:style>
  <w:style w:type="character" w:customStyle="1" w:styleId="CitationCar">
    <w:name w:val="Citation Car"/>
    <w:basedOn w:val="Policepardfaut"/>
    <w:link w:val="Citation"/>
    <w:uiPriority w:val="29"/>
    <w:rsid w:val="00140087"/>
    <w:rPr>
      <w:i/>
      <w:iCs/>
      <w:color w:val="404040" w:themeColor="text1" w:themeTint="BF"/>
    </w:rPr>
  </w:style>
  <w:style w:type="paragraph" w:styleId="Paragraphedeliste">
    <w:name w:val="List Paragraph"/>
    <w:basedOn w:val="Normal"/>
    <w:uiPriority w:val="34"/>
    <w:qFormat/>
    <w:rsid w:val="00140087"/>
    <w:pPr>
      <w:ind w:left="720"/>
      <w:contextualSpacing/>
    </w:pPr>
  </w:style>
  <w:style w:type="character" w:styleId="Accentuationintense">
    <w:name w:val="Intense Emphasis"/>
    <w:basedOn w:val="Policepardfaut"/>
    <w:uiPriority w:val="21"/>
    <w:qFormat/>
    <w:rsid w:val="00140087"/>
    <w:rPr>
      <w:i/>
      <w:iCs/>
      <w:color w:val="0F4761" w:themeColor="accent1" w:themeShade="BF"/>
    </w:rPr>
  </w:style>
  <w:style w:type="paragraph" w:styleId="Citationintense">
    <w:name w:val="Intense Quote"/>
    <w:basedOn w:val="Normal"/>
    <w:next w:val="Normal"/>
    <w:link w:val="CitationintenseCar"/>
    <w:uiPriority w:val="30"/>
    <w:qFormat/>
    <w:rsid w:val="00140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0087"/>
    <w:rPr>
      <w:i/>
      <w:iCs/>
      <w:color w:val="0F4761" w:themeColor="accent1" w:themeShade="BF"/>
    </w:rPr>
  </w:style>
  <w:style w:type="character" w:styleId="Rfrenceintense">
    <w:name w:val="Intense Reference"/>
    <w:basedOn w:val="Policepardfaut"/>
    <w:uiPriority w:val="32"/>
    <w:qFormat/>
    <w:rsid w:val="00140087"/>
    <w:rPr>
      <w:b/>
      <w:bCs/>
      <w:smallCaps/>
      <w:color w:val="0F4761" w:themeColor="accent1" w:themeShade="BF"/>
      <w:spacing w:val="5"/>
    </w:rPr>
  </w:style>
  <w:style w:type="paragraph" w:styleId="En-tte">
    <w:name w:val="header"/>
    <w:basedOn w:val="Normal"/>
    <w:link w:val="En-tteCar"/>
    <w:uiPriority w:val="99"/>
    <w:unhideWhenUsed/>
    <w:rsid w:val="00C86963"/>
    <w:pPr>
      <w:tabs>
        <w:tab w:val="center" w:pos="4536"/>
        <w:tab w:val="right" w:pos="9072"/>
      </w:tabs>
      <w:spacing w:after="0" w:line="240" w:lineRule="auto"/>
    </w:pPr>
  </w:style>
  <w:style w:type="character" w:customStyle="1" w:styleId="En-tteCar">
    <w:name w:val="En-tête Car"/>
    <w:basedOn w:val="Policepardfaut"/>
    <w:link w:val="En-tte"/>
    <w:uiPriority w:val="99"/>
    <w:rsid w:val="00C86963"/>
  </w:style>
  <w:style w:type="paragraph" w:styleId="Pieddepage">
    <w:name w:val="footer"/>
    <w:basedOn w:val="Normal"/>
    <w:link w:val="PieddepageCar"/>
    <w:uiPriority w:val="99"/>
    <w:unhideWhenUsed/>
    <w:rsid w:val="00C86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683637">
      <w:bodyDiv w:val="1"/>
      <w:marLeft w:val="0"/>
      <w:marRight w:val="0"/>
      <w:marTop w:val="0"/>
      <w:marBottom w:val="0"/>
      <w:divBdr>
        <w:top w:val="none" w:sz="0" w:space="0" w:color="auto"/>
        <w:left w:val="none" w:sz="0" w:space="0" w:color="auto"/>
        <w:bottom w:val="none" w:sz="0" w:space="0" w:color="auto"/>
        <w:right w:val="none" w:sz="0" w:space="0" w:color="auto"/>
      </w:divBdr>
    </w:div>
    <w:div w:id="20058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Duclos Celine</dc:creator>
  <cp:keywords/>
  <dc:description/>
  <cp:lastModifiedBy>Duclos Celine</cp:lastModifiedBy>
  <cp:revision>2</cp:revision>
  <dcterms:created xsi:type="dcterms:W3CDTF">2025-05-13T12:40:00Z</dcterms:created>
  <dcterms:modified xsi:type="dcterms:W3CDTF">2025-05-13T12:40:00Z</dcterms:modified>
</cp:coreProperties>
</file>