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7A5" w:rsidRDefault="003A2E79">
      <w:pPr>
        <w:pBdr>
          <w:top w:val="single" w:sz="4" w:space="1" w:color="000000"/>
          <w:left w:val="single" w:sz="4" w:space="4" w:color="000000"/>
          <w:bottom w:val="single" w:sz="4" w:space="1" w:color="000000"/>
          <w:right w:val="single" w:sz="4" w:space="4" w:color="000000"/>
        </w:pBdr>
        <w:jc w:val="center"/>
        <w:textAlignment w:val="baseline"/>
        <w:rPr>
          <w:rFonts w:ascii="Calibri" w:eastAsia="Calibri" w:hAnsi="Calibri" w:cs="Calibri"/>
          <w:b/>
          <w:sz w:val="20"/>
          <w:szCs w:val="20"/>
          <w:lang w:eastAsia="en-US"/>
        </w:rPr>
      </w:pPr>
      <w:r w:rsidRPr="00480FC1">
        <w:rPr>
          <w:rFonts w:ascii="Calibri" w:eastAsia="Calibri" w:hAnsi="Calibri" w:cs="Calibri"/>
          <w:b/>
          <w:sz w:val="32"/>
          <w:szCs w:val="32"/>
          <w:lang w:eastAsia="en-US"/>
        </w:rPr>
        <w:t>SEQUENCE 12:</w:t>
      </w:r>
      <w:r>
        <w:rPr>
          <w:rFonts w:asciiTheme="minorHAnsi" w:hAnsiTheme="minorHAnsi" w:cstheme="minorHAnsi"/>
          <w:b/>
          <w:bCs/>
          <w:sz w:val="32"/>
          <w:szCs w:val="32"/>
        </w:rPr>
        <w:t>Élaboration de la politique de santé aux différents échelons territoriaux : internationaux, nationaux, locaux et démocratie sanitaire</w:t>
      </w:r>
    </w:p>
    <w:p w:rsidR="006917A5" w:rsidRDefault="006917A5">
      <w:pPr>
        <w:jc w:val="center"/>
        <w:textAlignment w:val="baseline"/>
        <w:rPr>
          <w:rFonts w:ascii="Calibri" w:eastAsia="Calibri" w:hAnsi="Calibri" w:cs="Calibri"/>
          <w:b/>
          <w:sz w:val="20"/>
          <w:szCs w:val="20"/>
          <w:lang w:eastAsia="en-US"/>
        </w:rPr>
      </w:pPr>
    </w:p>
    <w:p w:rsidR="006917A5" w:rsidRDefault="003A2E79">
      <w:pPr>
        <w:pBdr>
          <w:top w:val="single" w:sz="4" w:space="1" w:color="000000"/>
          <w:left w:val="single" w:sz="4" w:space="1" w:color="000000"/>
          <w:bottom w:val="single" w:sz="4" w:space="1" w:color="000000"/>
          <w:right w:val="single" w:sz="4" w:space="1" w:color="000000"/>
        </w:pBdr>
        <w:jc w:val="center"/>
        <w:textAlignment w:val="baseline"/>
        <w:rPr>
          <w:rFonts w:ascii="Calibri" w:eastAsia="Calibri" w:hAnsi="Calibri"/>
          <w:b/>
          <w:sz w:val="28"/>
          <w:szCs w:val="28"/>
          <w:lang w:eastAsia="en-US"/>
        </w:rPr>
      </w:pPr>
      <w:r>
        <w:rPr>
          <w:rFonts w:ascii="Calibri" w:eastAsia="Calibri" w:hAnsi="Calibri"/>
          <w:b/>
          <w:sz w:val="28"/>
          <w:szCs w:val="28"/>
          <w:lang w:eastAsia="en-US"/>
        </w:rPr>
        <w:t>Contexte 12 : La santé mentale : Quelles politiques de santé ?</w:t>
      </w:r>
    </w:p>
    <w:p w:rsidR="006917A5" w:rsidRDefault="006917A5">
      <w:pPr>
        <w:spacing w:after="160"/>
        <w:textAlignment w:val="baseline"/>
        <w:rPr>
          <w:rFonts w:ascii="Calibri" w:eastAsia="Calibri" w:hAnsi="Calibri"/>
          <w:sz w:val="22"/>
          <w:szCs w:val="22"/>
          <w:lang w:eastAsia="en-US"/>
        </w:rPr>
      </w:pPr>
    </w:p>
    <w:p w:rsidR="006917A5" w:rsidRDefault="003A2E79">
      <w:pPr>
        <w:pBdr>
          <w:top w:val="single" w:sz="4" w:space="1" w:color="000000"/>
          <w:left w:val="single" w:sz="4" w:space="4" w:color="000000"/>
          <w:bottom w:val="single" w:sz="4" w:space="1" w:color="000000"/>
          <w:right w:val="single" w:sz="4" w:space="4" w:color="000000"/>
        </w:pBdr>
        <w:shd w:val="clear" w:color="auto" w:fill="F7CAAC"/>
        <w:jc w:val="center"/>
        <w:textAlignment w:val="baseline"/>
        <w:rPr>
          <w:rFonts w:ascii="Calibri" w:eastAsia="Calibri" w:hAnsi="Calibri" w:cs="Calibri"/>
          <w:b/>
          <w:sz w:val="28"/>
          <w:lang w:eastAsia="en-US"/>
        </w:rPr>
      </w:pPr>
      <w:bookmarkStart w:id="0" w:name="_Hlk16692998"/>
      <w:bookmarkEnd w:id="0"/>
      <w:r>
        <w:rPr>
          <w:rFonts w:ascii="Calibri" w:eastAsia="Calibri" w:hAnsi="Calibri" w:cs="Calibri"/>
          <w:b/>
          <w:sz w:val="28"/>
          <w:lang w:eastAsia="en-US"/>
        </w:rPr>
        <w:t>CORPUS DOCUMENTAIRE</w:t>
      </w:r>
    </w:p>
    <w:p w:rsidR="006917A5" w:rsidRDefault="006917A5">
      <w:pPr>
        <w:suppressAutoHyphens w:val="0"/>
        <w:spacing w:line="259" w:lineRule="auto"/>
        <w:jc w:val="both"/>
        <w:rPr>
          <w:rFonts w:asciiTheme="minorHAnsi" w:eastAsiaTheme="minorHAnsi" w:hAnsiTheme="minorHAnsi" w:cstheme="minorHAnsi"/>
          <w:sz w:val="22"/>
          <w:szCs w:val="22"/>
          <w:lang w:eastAsia="en-US"/>
        </w:rPr>
      </w:pPr>
    </w:p>
    <w:p w:rsidR="006917A5" w:rsidRDefault="003A2E79">
      <w:pPr>
        <w:suppressAutoHyphens w:val="0"/>
        <w:spacing w:line="259" w:lineRule="auto"/>
        <w:jc w:val="both"/>
        <w:rPr>
          <w:rFonts w:asciiTheme="minorHAnsi" w:eastAsiaTheme="minorHAnsi" w:hAnsiTheme="minorHAnsi" w:cstheme="minorHAnsi"/>
          <w:b/>
          <w:bCs/>
          <w:sz w:val="32"/>
          <w:szCs w:val="32"/>
          <w:u w:val="single"/>
          <w:lang w:eastAsia="en-US"/>
        </w:rPr>
      </w:pPr>
      <w:r>
        <w:rPr>
          <w:rFonts w:asciiTheme="minorHAnsi" w:eastAsiaTheme="minorHAnsi" w:hAnsiTheme="minorHAnsi" w:cstheme="minorHAnsi"/>
          <w:b/>
          <w:bCs/>
          <w:sz w:val="32"/>
          <w:szCs w:val="32"/>
          <w:u w:val="single"/>
          <w:lang w:eastAsia="en-US"/>
        </w:rPr>
        <w:t xml:space="preserve">Annexe 1 : La santé </w:t>
      </w:r>
      <w:r>
        <w:rPr>
          <w:rFonts w:asciiTheme="minorHAnsi" w:eastAsiaTheme="minorHAnsi" w:hAnsiTheme="minorHAnsi" w:cstheme="minorHAnsi"/>
          <w:b/>
          <w:bCs/>
          <w:sz w:val="32"/>
          <w:szCs w:val="32"/>
          <w:u w:val="single"/>
          <w:lang w:eastAsia="en-US"/>
        </w:rPr>
        <w:t>mentale, grande cause nationale depuis 2025</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Publié le 24/03/2025</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b/>
          <w:bCs/>
        </w:rPr>
        <w:t>La santé mentale</w:t>
      </w:r>
      <w:r>
        <w:rPr>
          <w:rFonts w:asciiTheme="minorHAnsi" w:hAnsiTheme="minorHAnsi" w:cstheme="minorHAnsi"/>
        </w:rPr>
        <w:t xml:space="preserve"> a été désignée </w:t>
      </w:r>
      <w:r>
        <w:rPr>
          <w:rFonts w:asciiTheme="minorHAnsi" w:hAnsiTheme="minorHAnsi" w:cstheme="minorHAnsi"/>
          <w:b/>
          <w:bCs/>
        </w:rPr>
        <w:t>Grande Cause nationale en 2025</w:t>
      </w:r>
      <w:r>
        <w:rPr>
          <w:rFonts w:asciiTheme="minorHAnsi" w:hAnsiTheme="minorHAnsi" w:cstheme="minorHAnsi"/>
        </w:rPr>
        <w:t>. Elle succède à l’activité physique et sportive, impulsée par les Jeux olympiques et paralympiques de Paris durant l’été 2024.</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 xml:space="preserve">Un choix qui répond à un </w:t>
      </w:r>
      <w:r>
        <w:rPr>
          <w:rFonts w:asciiTheme="minorHAnsi" w:hAnsiTheme="minorHAnsi" w:cstheme="minorHAnsi"/>
          <w:b/>
          <w:bCs/>
        </w:rPr>
        <w:t>enjeu majeur de santé publique</w:t>
      </w:r>
      <w:r>
        <w:rPr>
          <w:rFonts w:asciiTheme="minorHAnsi" w:hAnsiTheme="minorHAnsi" w:cstheme="minorHAnsi"/>
        </w:rPr>
        <w:t xml:space="preserve"> alors qu’un Français sur quatre sera confronté à un trouble mental au cours de sa vie. </w:t>
      </w:r>
      <w:r>
        <w:rPr>
          <w:rFonts w:asciiTheme="minorHAnsi" w:hAnsiTheme="minorHAnsi" w:cstheme="minorHAnsi"/>
          <w:b/>
          <w:bCs/>
        </w:rPr>
        <w:t>Lever les tabous</w:t>
      </w:r>
      <w:r>
        <w:rPr>
          <w:rFonts w:asciiTheme="minorHAnsi" w:hAnsiTheme="minorHAnsi" w:cstheme="minorHAnsi"/>
        </w:rPr>
        <w:t xml:space="preserve">, </w:t>
      </w:r>
      <w:r>
        <w:rPr>
          <w:rFonts w:asciiTheme="minorHAnsi" w:hAnsiTheme="minorHAnsi" w:cstheme="minorHAnsi"/>
          <w:b/>
          <w:bCs/>
        </w:rPr>
        <w:t>améliorer l’accès aux soins</w:t>
      </w:r>
      <w:r>
        <w:rPr>
          <w:rFonts w:asciiTheme="minorHAnsi" w:hAnsiTheme="minorHAnsi" w:cstheme="minorHAnsi"/>
        </w:rPr>
        <w:t xml:space="preserve">, </w:t>
      </w:r>
      <w:r>
        <w:rPr>
          <w:rFonts w:asciiTheme="minorHAnsi" w:hAnsiTheme="minorHAnsi" w:cstheme="minorHAnsi"/>
          <w:b/>
          <w:bCs/>
        </w:rPr>
        <w:t xml:space="preserve">à l’information </w:t>
      </w:r>
      <w:r>
        <w:rPr>
          <w:rFonts w:asciiTheme="minorHAnsi" w:hAnsiTheme="minorHAnsi" w:cstheme="minorHAnsi"/>
        </w:rPr>
        <w:t xml:space="preserve">et </w:t>
      </w:r>
      <w:r>
        <w:rPr>
          <w:rFonts w:asciiTheme="minorHAnsi" w:hAnsiTheme="minorHAnsi" w:cstheme="minorHAnsi"/>
          <w:b/>
          <w:bCs/>
        </w:rPr>
        <w:t>re</w:t>
      </w:r>
      <w:r>
        <w:rPr>
          <w:rFonts w:asciiTheme="minorHAnsi" w:hAnsiTheme="minorHAnsi" w:cstheme="minorHAnsi"/>
          <w:b/>
          <w:bCs/>
        </w:rPr>
        <w:t>n</w:t>
      </w:r>
      <w:r>
        <w:rPr>
          <w:rFonts w:asciiTheme="minorHAnsi" w:hAnsiTheme="minorHAnsi" w:cstheme="minorHAnsi"/>
          <w:b/>
          <w:bCs/>
        </w:rPr>
        <w:t>forcer la prévention</w:t>
      </w:r>
      <w:r>
        <w:rPr>
          <w:rFonts w:asciiTheme="minorHAnsi" w:hAnsiTheme="minorHAnsi" w:cstheme="minorHAnsi"/>
        </w:rPr>
        <w:t xml:space="preserve"> sont au cœur des action</w:t>
      </w:r>
      <w:r>
        <w:rPr>
          <w:rFonts w:asciiTheme="minorHAnsi" w:hAnsiTheme="minorHAnsi" w:cstheme="minorHAnsi"/>
        </w:rPr>
        <w:t>s portées par l’Etat et ses partenaires.</w:t>
      </w:r>
    </w:p>
    <w:p w:rsidR="006917A5" w:rsidRDefault="003A2E79">
      <w:pPr>
        <w:suppressAutoHyphens w:val="0"/>
        <w:spacing w:beforeAutospacing="1" w:afterAutospacing="1"/>
        <w:jc w:val="both"/>
        <w:outlineLvl w:val="1"/>
        <w:rPr>
          <w:rFonts w:asciiTheme="minorHAnsi" w:hAnsiTheme="minorHAnsi" w:cstheme="minorHAnsi"/>
          <w:b/>
          <w:bCs/>
          <w:sz w:val="28"/>
          <w:szCs w:val="28"/>
          <w:u w:val="single"/>
        </w:rPr>
      </w:pPr>
      <w:r>
        <w:rPr>
          <w:rFonts w:asciiTheme="minorHAnsi" w:hAnsiTheme="minorHAnsi" w:cstheme="minorHAnsi"/>
          <w:b/>
          <w:bCs/>
          <w:sz w:val="28"/>
          <w:szCs w:val="28"/>
          <w:u w:val="single"/>
        </w:rPr>
        <w:t>Qu’est-ce que la santé mentale ?</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b/>
          <w:bCs/>
        </w:rPr>
        <w:t>La santé mentale est une composante indispensable de la santé d’une personne</w:t>
      </w:r>
      <w:r>
        <w:rPr>
          <w:rFonts w:asciiTheme="minorHAnsi" w:hAnsiTheme="minorHAnsi" w:cstheme="minorHAnsi"/>
        </w:rPr>
        <w:t>. Ainsi, être en bonne sa</w:t>
      </w:r>
      <w:r>
        <w:rPr>
          <w:rFonts w:asciiTheme="minorHAnsi" w:hAnsiTheme="minorHAnsi" w:cstheme="minorHAnsi"/>
        </w:rPr>
        <w:t>n</w:t>
      </w:r>
      <w:r>
        <w:rPr>
          <w:rFonts w:asciiTheme="minorHAnsi" w:hAnsiTheme="minorHAnsi" w:cstheme="minorHAnsi"/>
        </w:rPr>
        <w:t>té implique à la fois une bonne santé physique et une bonne santé mentale.</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Selon</w:t>
      </w:r>
      <w:r>
        <w:rPr>
          <w:rFonts w:asciiTheme="minorHAnsi" w:hAnsiTheme="minorHAnsi" w:cstheme="minorHAnsi"/>
        </w:rPr>
        <w:t xml:space="preserve"> l’Organisation mondiale de la santé (OMS) : « La santé mentale correspond à un état de bien-être mental qui nous permet de faire face aux sources de stress de la vie, de réaliser notre potentiel, de bien apprendre et de bien travailler, et de contribuer à</w:t>
      </w:r>
      <w:r>
        <w:rPr>
          <w:rFonts w:asciiTheme="minorHAnsi" w:hAnsiTheme="minorHAnsi" w:cstheme="minorHAnsi"/>
        </w:rPr>
        <w:t xml:space="preserve"> la vie de la communauté. Elle a une valeur en soi et en tant que facteur favorable, et fait partie intégrante de notre bien-être. »</w:t>
      </w:r>
    </w:p>
    <w:p w:rsidR="006917A5" w:rsidRDefault="00B64652">
      <w:pPr>
        <w:suppressAutoHyphens w:val="0"/>
        <w:spacing w:beforeAutospacing="1" w:afterAutospacing="1"/>
        <w:jc w:val="both"/>
        <w:rPr>
          <w:rFonts w:asciiTheme="minorHAnsi" w:hAnsiTheme="minorHAnsi" w:cstheme="minorHAnsi"/>
        </w:rPr>
      </w:pPr>
      <w:hyperlink r:id="rId8" w:tgtFrame="_blank">
        <w:r w:rsidR="003A2E79">
          <w:rPr>
            <w:rFonts w:asciiTheme="minorHAnsi" w:hAnsiTheme="minorHAnsi" w:cstheme="minorHAnsi"/>
            <w:u w:val="single"/>
          </w:rPr>
          <w:t>Santé publique Franc</w:t>
        </w:r>
        <w:r w:rsidR="003A2E79">
          <w:rPr>
            <w:rFonts w:asciiTheme="minorHAnsi" w:hAnsiTheme="minorHAnsi" w:cstheme="minorHAnsi"/>
            <w:u w:val="single"/>
          </w:rPr>
          <w:t>e</w:t>
        </w:r>
      </w:hyperlink>
      <w:r w:rsidR="003A2E79">
        <w:rPr>
          <w:rFonts w:asciiTheme="minorHAnsi" w:hAnsiTheme="minorHAnsi" w:cstheme="minorHAnsi"/>
        </w:rPr>
        <w:t xml:space="preserve"> identifie trois dimensions de la santé mentale : </w:t>
      </w:r>
    </w:p>
    <w:p w:rsidR="006917A5" w:rsidRDefault="003A2E79">
      <w:pPr>
        <w:numPr>
          <w:ilvl w:val="0"/>
          <w:numId w:val="4"/>
        </w:numPr>
        <w:suppressAutoHyphens w:val="0"/>
        <w:spacing w:beforeAutospacing="1"/>
        <w:jc w:val="both"/>
        <w:rPr>
          <w:rFonts w:asciiTheme="minorHAnsi" w:hAnsiTheme="minorHAnsi" w:cstheme="minorHAnsi"/>
        </w:rPr>
      </w:pPr>
      <w:r>
        <w:rPr>
          <w:rFonts w:asciiTheme="minorHAnsi" w:hAnsiTheme="minorHAnsi" w:cstheme="minorHAnsi"/>
          <w:b/>
          <w:bCs/>
        </w:rPr>
        <w:t>La santé mentale positive</w:t>
      </w:r>
      <w:r>
        <w:rPr>
          <w:rFonts w:asciiTheme="minorHAnsi" w:hAnsiTheme="minorHAnsi" w:cstheme="minorHAnsi"/>
        </w:rPr>
        <w:t xml:space="preserve"> englobe l’épanouissement personnel, le bien-être, les ressources psych</w:t>
      </w:r>
      <w:r>
        <w:rPr>
          <w:rFonts w:asciiTheme="minorHAnsi" w:hAnsiTheme="minorHAnsi" w:cstheme="minorHAnsi"/>
        </w:rPr>
        <w:t>o</w:t>
      </w:r>
      <w:r>
        <w:rPr>
          <w:rFonts w:asciiTheme="minorHAnsi" w:hAnsiTheme="minorHAnsi" w:cstheme="minorHAnsi"/>
        </w:rPr>
        <w:t>logiques et les capacités d’agir de l’individu dans ses différents rôles sociaux.</w:t>
      </w:r>
    </w:p>
    <w:p w:rsidR="006917A5" w:rsidRDefault="003A2E79">
      <w:pPr>
        <w:numPr>
          <w:ilvl w:val="0"/>
          <w:numId w:val="4"/>
        </w:numPr>
        <w:suppressAutoHyphens w:val="0"/>
        <w:jc w:val="both"/>
        <w:rPr>
          <w:rFonts w:asciiTheme="minorHAnsi" w:hAnsiTheme="minorHAnsi" w:cstheme="minorHAnsi"/>
        </w:rPr>
      </w:pPr>
      <w:r>
        <w:rPr>
          <w:rFonts w:asciiTheme="minorHAnsi" w:hAnsiTheme="minorHAnsi" w:cstheme="minorHAnsi"/>
          <w:b/>
          <w:bCs/>
        </w:rPr>
        <w:t>La détresse psychologique</w:t>
      </w:r>
      <w:r>
        <w:rPr>
          <w:rFonts w:asciiTheme="minorHAnsi" w:hAnsiTheme="minorHAnsi" w:cstheme="minorHAnsi"/>
          <w:b/>
          <w:bCs/>
        </w:rPr>
        <w:t xml:space="preserve"> réactionnelle</w:t>
      </w:r>
      <w:r>
        <w:rPr>
          <w:rFonts w:asciiTheme="minorHAnsi" w:hAnsiTheme="minorHAnsi" w:cstheme="minorHAnsi"/>
        </w:rPr>
        <w:t xml:space="preserve"> peut apparaître à la suite d’événements de vie difficiles comme un accident, un échec ou un deuil. Elle n’est pas nécessairement révélatrice d’un trouble mental. Les symptômes, le plus souvent anxieux ou dépressifs peuvent être passagers. Ce</w:t>
      </w:r>
      <w:r>
        <w:rPr>
          <w:rFonts w:asciiTheme="minorHAnsi" w:hAnsiTheme="minorHAnsi" w:cstheme="minorHAnsi"/>
        </w:rPr>
        <w:t>pendant, si la détresse psychologique est mal repérée ou mal accompagnée, elle peut déclencher une maladie chez la personne ou multiplier ses difficultés sociales.</w:t>
      </w:r>
    </w:p>
    <w:p w:rsidR="006917A5" w:rsidRDefault="003A2E79">
      <w:pPr>
        <w:numPr>
          <w:ilvl w:val="0"/>
          <w:numId w:val="4"/>
        </w:numPr>
        <w:suppressAutoHyphens w:val="0"/>
        <w:spacing w:afterAutospacing="1"/>
        <w:jc w:val="both"/>
        <w:rPr>
          <w:rFonts w:asciiTheme="minorHAnsi" w:hAnsiTheme="minorHAnsi" w:cstheme="minorHAnsi"/>
        </w:rPr>
      </w:pPr>
      <w:r>
        <w:rPr>
          <w:rFonts w:asciiTheme="minorHAnsi" w:hAnsiTheme="minorHAnsi" w:cstheme="minorHAnsi"/>
          <w:b/>
          <w:bCs/>
        </w:rPr>
        <w:t>Les troubles psychiatriques</w:t>
      </w:r>
      <w:r>
        <w:rPr>
          <w:rFonts w:asciiTheme="minorHAnsi" w:hAnsiTheme="minorHAnsi" w:cstheme="minorHAnsi"/>
        </w:rPr>
        <w:t xml:space="preserve"> de durée variable, plus ou moins sévères ou handicapants relèven</w:t>
      </w:r>
      <w:r>
        <w:rPr>
          <w:rFonts w:asciiTheme="minorHAnsi" w:hAnsiTheme="minorHAnsi" w:cstheme="minorHAnsi"/>
        </w:rPr>
        <w:t>t d’une prise en charge médicale. L’expression « troubles mentaux » désigne un ensemble de troubles mentaux et de troubles du comportement répertoriés dans la classification statistique internationale des maladies et des problèmes de santé connexes (publié</w:t>
      </w:r>
      <w:r>
        <w:rPr>
          <w:rFonts w:asciiTheme="minorHAnsi" w:hAnsiTheme="minorHAnsi" w:cstheme="minorHAnsi"/>
        </w:rPr>
        <w:t>e par l’OMS). […]</w:t>
      </w:r>
    </w:p>
    <w:p w:rsidR="006917A5" w:rsidRDefault="003A2E79">
      <w:pPr>
        <w:suppressAutoHyphens w:val="0"/>
        <w:spacing w:beforeAutospacing="1" w:afterAutospacing="1"/>
        <w:jc w:val="both"/>
        <w:outlineLvl w:val="1"/>
        <w:rPr>
          <w:rFonts w:asciiTheme="minorHAnsi" w:hAnsiTheme="minorHAnsi" w:cstheme="minorHAnsi"/>
          <w:b/>
          <w:bCs/>
          <w:sz w:val="28"/>
          <w:szCs w:val="28"/>
          <w:u w:val="single"/>
        </w:rPr>
      </w:pPr>
      <w:r>
        <w:rPr>
          <w:rFonts w:asciiTheme="minorHAnsi" w:hAnsiTheme="minorHAnsi" w:cstheme="minorHAnsi"/>
          <w:b/>
          <w:bCs/>
          <w:sz w:val="28"/>
          <w:szCs w:val="28"/>
          <w:u w:val="single"/>
        </w:rPr>
        <w:t>Les publics vulnérables particulièrement touchés par les problèmes de santé mentale</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La santé mentale est influencée par des facteurs individuels, mais aussi sociaux, culturels, économiques, politiques et environnementaux. La qualité et le</w:t>
      </w:r>
      <w:r>
        <w:rPr>
          <w:rFonts w:asciiTheme="minorHAnsi" w:hAnsiTheme="minorHAnsi" w:cstheme="minorHAnsi"/>
        </w:rPr>
        <w:t>s conditions de vie, le travail et les interactions sociales peuvent être des facteurs déterminants de l’état de santé mentale des personnes. </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Les populations précaires et vulnérables sont particulièrement exposées aux troubles de la santé mentale :</w:t>
      </w:r>
    </w:p>
    <w:p w:rsidR="006917A5" w:rsidRDefault="003A2E79">
      <w:pPr>
        <w:numPr>
          <w:ilvl w:val="0"/>
          <w:numId w:val="5"/>
        </w:numPr>
        <w:suppressAutoHyphens w:val="0"/>
        <w:spacing w:beforeAutospacing="1"/>
        <w:jc w:val="both"/>
        <w:rPr>
          <w:rFonts w:asciiTheme="minorHAnsi" w:hAnsiTheme="minorHAnsi" w:cstheme="minorHAnsi"/>
        </w:rPr>
      </w:pPr>
      <w:r>
        <w:rPr>
          <w:rFonts w:asciiTheme="minorHAnsi" w:hAnsiTheme="minorHAnsi" w:cstheme="minorHAnsi"/>
        </w:rPr>
        <w:lastRenderedPageBreak/>
        <w:t>chez l</w:t>
      </w:r>
      <w:r>
        <w:rPr>
          <w:rFonts w:asciiTheme="minorHAnsi" w:hAnsiTheme="minorHAnsi" w:cstheme="minorHAnsi"/>
        </w:rPr>
        <w:t>es personnes âgées, l’isolement social peut engendrer de l’anxiété ;</w:t>
      </w:r>
    </w:p>
    <w:p w:rsidR="006917A5" w:rsidRDefault="003A2E79">
      <w:pPr>
        <w:numPr>
          <w:ilvl w:val="0"/>
          <w:numId w:val="5"/>
        </w:numPr>
        <w:suppressAutoHyphens w:val="0"/>
        <w:jc w:val="both"/>
        <w:rPr>
          <w:rFonts w:asciiTheme="minorHAnsi" w:hAnsiTheme="minorHAnsi" w:cstheme="minorHAnsi"/>
        </w:rPr>
      </w:pPr>
      <w:r>
        <w:rPr>
          <w:rFonts w:asciiTheme="minorHAnsi" w:hAnsiTheme="minorHAnsi" w:cstheme="minorHAnsi"/>
        </w:rPr>
        <w:t>les aidants d’un parent âgé, d’un proche ou d’un enfant malade ou en situation de handicap sont confrontés au besoin de répit physique et mental ;</w:t>
      </w:r>
    </w:p>
    <w:p w:rsidR="006917A5" w:rsidRDefault="003A2E79">
      <w:pPr>
        <w:numPr>
          <w:ilvl w:val="0"/>
          <w:numId w:val="5"/>
        </w:numPr>
        <w:suppressAutoHyphens w:val="0"/>
        <w:jc w:val="both"/>
        <w:rPr>
          <w:rFonts w:asciiTheme="minorHAnsi" w:hAnsiTheme="minorHAnsi" w:cstheme="minorHAnsi"/>
        </w:rPr>
      </w:pPr>
      <w:r>
        <w:rPr>
          <w:rFonts w:asciiTheme="minorHAnsi" w:hAnsiTheme="minorHAnsi" w:cstheme="minorHAnsi"/>
        </w:rPr>
        <w:t>les familles monoparentales, et plus par</w:t>
      </w:r>
      <w:r>
        <w:rPr>
          <w:rFonts w:asciiTheme="minorHAnsi" w:hAnsiTheme="minorHAnsi" w:cstheme="minorHAnsi"/>
        </w:rPr>
        <w:t>ticulièrement les mères isolées, subissent une charge me</w:t>
      </w:r>
      <w:r>
        <w:rPr>
          <w:rFonts w:asciiTheme="minorHAnsi" w:hAnsiTheme="minorHAnsi" w:cstheme="minorHAnsi"/>
        </w:rPr>
        <w:t>n</w:t>
      </w:r>
      <w:r>
        <w:rPr>
          <w:rFonts w:asciiTheme="minorHAnsi" w:hAnsiTheme="minorHAnsi" w:cstheme="minorHAnsi"/>
        </w:rPr>
        <w:t>tale et physique intense pouvant mener à l’épuisement ;</w:t>
      </w:r>
    </w:p>
    <w:p w:rsidR="006917A5" w:rsidRDefault="003A2E79">
      <w:pPr>
        <w:numPr>
          <w:ilvl w:val="0"/>
          <w:numId w:val="5"/>
        </w:numPr>
        <w:suppressAutoHyphens w:val="0"/>
        <w:jc w:val="both"/>
        <w:rPr>
          <w:rFonts w:asciiTheme="minorHAnsi" w:hAnsiTheme="minorHAnsi" w:cstheme="minorHAnsi"/>
        </w:rPr>
      </w:pPr>
      <w:r>
        <w:rPr>
          <w:rFonts w:asciiTheme="minorHAnsi" w:hAnsiTheme="minorHAnsi" w:cstheme="minorHAnsi"/>
        </w:rPr>
        <w:t>les personnes rencontrant des difficultés à accéder au monde du travail peuvent souffrir d’un sent</w:t>
      </w:r>
      <w:r>
        <w:rPr>
          <w:rFonts w:asciiTheme="minorHAnsi" w:hAnsiTheme="minorHAnsi" w:cstheme="minorHAnsi"/>
        </w:rPr>
        <w:t>i</w:t>
      </w:r>
      <w:r>
        <w:rPr>
          <w:rFonts w:asciiTheme="minorHAnsi" w:hAnsiTheme="minorHAnsi" w:cstheme="minorHAnsi"/>
        </w:rPr>
        <w:t>ment d’exclusion engendrant une perte de con</w:t>
      </w:r>
      <w:r>
        <w:rPr>
          <w:rFonts w:asciiTheme="minorHAnsi" w:hAnsiTheme="minorHAnsi" w:cstheme="minorHAnsi"/>
        </w:rPr>
        <w:t>fiance en soi ;</w:t>
      </w:r>
    </w:p>
    <w:p w:rsidR="006917A5" w:rsidRDefault="003A2E79">
      <w:pPr>
        <w:numPr>
          <w:ilvl w:val="0"/>
          <w:numId w:val="5"/>
        </w:numPr>
        <w:suppressAutoHyphens w:val="0"/>
        <w:spacing w:afterAutospacing="1"/>
        <w:jc w:val="both"/>
        <w:rPr>
          <w:rFonts w:asciiTheme="minorHAnsi" w:hAnsiTheme="minorHAnsi" w:cstheme="minorHAnsi"/>
        </w:rPr>
      </w:pPr>
      <w:r>
        <w:rPr>
          <w:rFonts w:asciiTheme="minorHAnsi" w:hAnsiTheme="minorHAnsi" w:cstheme="minorHAnsi"/>
        </w:rPr>
        <w:t>chez les plus jeunes, une surexposition aux écrans peut entraîner des troubles du développement et du comportement, aggravant leur vulnérabilité psychique.</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Tous ces facteurs cumulés renforcent le mal-être et les risques de troubles mentaux,</w:t>
      </w:r>
      <w:r>
        <w:rPr>
          <w:rFonts w:asciiTheme="minorHAnsi" w:hAnsiTheme="minorHAnsi" w:cstheme="minorHAnsi"/>
        </w:rPr>
        <w:t xml:space="preserve"> nécessitant un acco</w:t>
      </w:r>
      <w:r>
        <w:rPr>
          <w:rFonts w:asciiTheme="minorHAnsi" w:hAnsiTheme="minorHAnsi" w:cstheme="minorHAnsi"/>
        </w:rPr>
        <w:t>m</w:t>
      </w:r>
      <w:r>
        <w:rPr>
          <w:rFonts w:asciiTheme="minorHAnsi" w:hAnsiTheme="minorHAnsi" w:cstheme="minorHAnsi"/>
        </w:rPr>
        <w:t>pagnement et une prise en charge adaptés. […]</w:t>
      </w:r>
    </w:p>
    <w:p w:rsidR="006917A5" w:rsidRDefault="003A2E79">
      <w:pPr>
        <w:suppressAutoHyphens w:val="0"/>
        <w:spacing w:line="259" w:lineRule="auto"/>
        <w:jc w:val="right"/>
        <w:rPr>
          <w:rFonts w:asciiTheme="minorHAnsi" w:eastAsiaTheme="minorHAnsi" w:hAnsiTheme="minorHAnsi" w:cstheme="minorHAnsi"/>
          <w:b/>
          <w:bCs/>
          <w:i/>
          <w:iCs/>
          <w:sz w:val="20"/>
          <w:szCs w:val="20"/>
          <w:u w:val="single"/>
          <w:lang w:eastAsia="en-US"/>
        </w:rPr>
      </w:pPr>
      <w:r>
        <w:rPr>
          <w:rFonts w:asciiTheme="minorHAnsi" w:eastAsiaTheme="minorHAnsi" w:hAnsiTheme="minorHAnsi" w:cstheme="minorHAnsi"/>
          <w:b/>
          <w:bCs/>
          <w:i/>
          <w:iCs/>
          <w:sz w:val="20"/>
          <w:szCs w:val="20"/>
          <w:u w:val="single"/>
          <w:lang w:eastAsia="en-US"/>
        </w:rPr>
        <w:t>https://solidarites.gouv.fr/la-sante-mentale-grande-cause-nationale-2025</w:t>
      </w:r>
    </w:p>
    <w:p w:rsidR="006917A5" w:rsidRDefault="006917A5">
      <w:pPr>
        <w:suppressAutoHyphens w:val="0"/>
        <w:spacing w:line="259" w:lineRule="auto"/>
        <w:jc w:val="both"/>
        <w:rPr>
          <w:rFonts w:asciiTheme="minorHAnsi" w:eastAsiaTheme="minorHAnsi" w:hAnsiTheme="minorHAnsi" w:cstheme="minorHAnsi"/>
          <w:b/>
          <w:bCs/>
          <w:sz w:val="32"/>
          <w:szCs w:val="32"/>
          <w:u w:val="single"/>
          <w:lang w:eastAsia="en-US"/>
        </w:rPr>
      </w:pPr>
    </w:p>
    <w:p w:rsidR="006917A5" w:rsidRDefault="003A2E79">
      <w:pPr>
        <w:suppressAutoHyphens w:val="0"/>
        <w:spacing w:line="259" w:lineRule="auto"/>
        <w:jc w:val="both"/>
        <w:rPr>
          <w:rFonts w:asciiTheme="minorHAnsi" w:eastAsiaTheme="minorHAnsi" w:hAnsiTheme="minorHAnsi" w:cstheme="minorHAnsi"/>
          <w:b/>
          <w:bCs/>
          <w:sz w:val="32"/>
          <w:szCs w:val="32"/>
          <w:u w:val="single"/>
          <w:lang w:eastAsia="en-US"/>
        </w:rPr>
      </w:pPr>
      <w:r>
        <w:rPr>
          <w:rFonts w:asciiTheme="minorHAnsi" w:eastAsiaTheme="minorHAnsi" w:hAnsiTheme="minorHAnsi" w:cstheme="minorHAnsi"/>
          <w:b/>
          <w:bCs/>
          <w:sz w:val="32"/>
          <w:szCs w:val="32"/>
          <w:u w:val="single"/>
          <w:lang w:eastAsia="en-US"/>
        </w:rPr>
        <w:t>Annexe 2 : La santé mentale : un enjeu de santé publique</w:t>
      </w:r>
    </w:p>
    <w:p w:rsidR="006917A5" w:rsidRDefault="003A2E79">
      <w:pPr>
        <w:suppressAutoHyphens w:val="0"/>
        <w:spacing w:beforeAutospacing="1" w:afterAutospacing="1"/>
        <w:outlineLvl w:val="2"/>
        <w:rPr>
          <w:rFonts w:ascii="Calibri" w:hAnsi="Calibri" w:cs="Calibri"/>
          <w:b/>
          <w:bCs/>
          <w:u w:val="single"/>
        </w:rPr>
      </w:pPr>
      <w:r>
        <w:rPr>
          <w:rFonts w:ascii="Calibri" w:hAnsi="Calibri" w:cs="Calibri"/>
          <w:b/>
          <w:bCs/>
          <w:u w:val="single"/>
        </w:rPr>
        <w:t>Document 1 : La santé mentale en quelques chiffres</w:t>
      </w:r>
    </w:p>
    <w:p w:rsidR="006917A5" w:rsidRDefault="003A2E79">
      <w:pPr>
        <w:suppressAutoHyphens w:val="0"/>
        <w:spacing w:beforeAutospacing="1" w:afterAutospacing="1"/>
        <w:jc w:val="both"/>
        <w:rPr>
          <w:rFonts w:ascii="Calibri" w:hAnsi="Calibri" w:cs="Calibri"/>
        </w:rPr>
      </w:pPr>
      <w:r>
        <w:rPr>
          <w:rFonts w:ascii="Calibri" w:hAnsi="Calibri" w:cs="Calibri"/>
        </w:rPr>
        <w:t>Classés</w:t>
      </w:r>
      <w:r>
        <w:rPr>
          <w:rFonts w:ascii="Calibri" w:hAnsi="Calibri" w:cs="Calibri"/>
        </w:rPr>
        <w:t xml:space="preserve"> au troisième rang des maladies après les cancers et les pathologies cardiovasculaires et sources d’un quart des invalidités selon l’OMS, les troubles psychiques et les maladies mentales tiennent une place i</w:t>
      </w:r>
      <w:r>
        <w:rPr>
          <w:rFonts w:ascii="Calibri" w:hAnsi="Calibri" w:cs="Calibri"/>
        </w:rPr>
        <w:t>m</w:t>
      </w:r>
      <w:r>
        <w:rPr>
          <w:rFonts w:ascii="Calibri" w:hAnsi="Calibri" w:cs="Calibri"/>
        </w:rPr>
        <w:t>portante dans la vie d’au moins un quart de la p</w:t>
      </w:r>
      <w:r>
        <w:rPr>
          <w:rFonts w:ascii="Calibri" w:hAnsi="Calibri" w:cs="Calibri"/>
        </w:rPr>
        <w:t>opulation française, en tenant compte de leurs cons</w:t>
      </w:r>
      <w:r>
        <w:rPr>
          <w:rFonts w:ascii="Calibri" w:hAnsi="Calibri" w:cs="Calibri"/>
        </w:rPr>
        <w:t>é</w:t>
      </w:r>
      <w:r>
        <w:rPr>
          <w:rFonts w:ascii="Calibri" w:hAnsi="Calibri" w:cs="Calibri"/>
        </w:rPr>
        <w:t>quences sur l’entourage immédiat des patients.</w:t>
      </w:r>
    </w:p>
    <w:p w:rsidR="006917A5" w:rsidRDefault="003A2E79">
      <w:pPr>
        <w:suppressAutoHyphens w:val="0"/>
        <w:spacing w:beforeAutospacing="1" w:afterAutospacing="1"/>
        <w:jc w:val="both"/>
        <w:rPr>
          <w:rFonts w:ascii="Calibri" w:hAnsi="Calibri" w:cs="Calibri"/>
        </w:rPr>
      </w:pPr>
      <w:r>
        <w:rPr>
          <w:rFonts w:ascii="Calibri" w:hAnsi="Calibri" w:cs="Calibri"/>
        </w:rPr>
        <w:t>Chaque année, environ 200 000 personnes font une tentative de suicide et 9 200 en décèdent, le suicide s’avérant la première cause de mortalité chez les pers</w:t>
      </w:r>
      <w:r>
        <w:rPr>
          <w:rFonts w:ascii="Calibri" w:hAnsi="Calibri" w:cs="Calibri"/>
        </w:rPr>
        <w:t>onnes âgées entre 25 et 34 ans.</w:t>
      </w:r>
    </w:p>
    <w:p w:rsidR="006917A5" w:rsidRDefault="003A2E79">
      <w:pPr>
        <w:suppressAutoHyphens w:val="0"/>
        <w:spacing w:beforeAutospacing="1" w:afterAutospacing="1"/>
        <w:jc w:val="both"/>
        <w:rPr>
          <w:rFonts w:ascii="Calibri" w:hAnsi="Calibri" w:cs="Calibri"/>
        </w:rPr>
      </w:pPr>
      <w:r>
        <w:rPr>
          <w:rFonts w:ascii="Calibri" w:hAnsi="Calibri" w:cs="Calibri"/>
        </w:rPr>
        <w:t>On estime que 1 % de la population vit avec des troubles schizophréniques et 2 % de troubles de l’humeur en France.</w:t>
      </w:r>
    </w:p>
    <w:p w:rsidR="006917A5" w:rsidRDefault="003A2E79">
      <w:pPr>
        <w:suppressAutoHyphens w:val="0"/>
        <w:spacing w:beforeAutospacing="1" w:afterAutospacing="1"/>
        <w:jc w:val="both"/>
        <w:rPr>
          <w:rFonts w:ascii="Calibri" w:hAnsi="Calibri" w:cs="Calibri"/>
        </w:rPr>
      </w:pPr>
      <w:r>
        <w:rPr>
          <w:rFonts w:ascii="Calibri" w:hAnsi="Calibri" w:cs="Calibri"/>
        </w:rPr>
        <w:t>Le coût économique et social des troubles mentaux est évalué à 163 milliards d’euros par an, dont :  </w:t>
      </w:r>
    </w:p>
    <w:p w:rsidR="006917A5" w:rsidRDefault="003A2E79">
      <w:pPr>
        <w:numPr>
          <w:ilvl w:val="0"/>
          <w:numId w:val="6"/>
        </w:numPr>
        <w:suppressAutoHyphens w:val="0"/>
        <w:spacing w:beforeAutospacing="1"/>
        <w:jc w:val="both"/>
        <w:rPr>
          <w:rFonts w:ascii="Calibri" w:hAnsi="Calibri" w:cs="Calibri"/>
        </w:rPr>
      </w:pPr>
      <w:r>
        <w:rPr>
          <w:rFonts w:ascii="Calibri" w:hAnsi="Calibri" w:cs="Calibri"/>
        </w:rPr>
        <w:t>83 mil</w:t>
      </w:r>
      <w:r>
        <w:rPr>
          <w:rFonts w:ascii="Calibri" w:hAnsi="Calibri" w:cs="Calibri"/>
        </w:rPr>
        <w:t>liards pour la perte de qualité de vie</w:t>
      </w:r>
    </w:p>
    <w:p w:rsidR="006917A5" w:rsidRDefault="003A2E79">
      <w:pPr>
        <w:numPr>
          <w:ilvl w:val="0"/>
          <w:numId w:val="6"/>
        </w:numPr>
        <w:suppressAutoHyphens w:val="0"/>
        <w:jc w:val="both"/>
        <w:rPr>
          <w:rFonts w:ascii="Calibri" w:hAnsi="Calibri" w:cs="Calibri"/>
        </w:rPr>
      </w:pPr>
      <w:r>
        <w:rPr>
          <w:rFonts w:ascii="Calibri" w:hAnsi="Calibri" w:cs="Calibri"/>
        </w:rPr>
        <w:t>44 milliards pour la perte de productivité liée au handicap et aux suicides</w:t>
      </w:r>
    </w:p>
    <w:p w:rsidR="006917A5" w:rsidRDefault="003A2E79">
      <w:pPr>
        <w:numPr>
          <w:ilvl w:val="0"/>
          <w:numId w:val="6"/>
        </w:numPr>
        <w:suppressAutoHyphens w:val="0"/>
        <w:jc w:val="both"/>
        <w:rPr>
          <w:rFonts w:ascii="Calibri" w:hAnsi="Calibri" w:cs="Calibri"/>
        </w:rPr>
      </w:pPr>
      <w:r>
        <w:rPr>
          <w:rFonts w:ascii="Calibri" w:hAnsi="Calibri" w:cs="Calibri"/>
        </w:rPr>
        <w:t>14 milliards dans le secteur médical</w:t>
      </w:r>
    </w:p>
    <w:p w:rsidR="006917A5" w:rsidRDefault="003A2E79">
      <w:pPr>
        <w:numPr>
          <w:ilvl w:val="0"/>
          <w:numId w:val="6"/>
        </w:numPr>
        <w:suppressAutoHyphens w:val="0"/>
        <w:spacing w:afterAutospacing="1"/>
        <w:jc w:val="both"/>
        <w:rPr>
          <w:rFonts w:ascii="Calibri" w:hAnsi="Calibri" w:cs="Calibri"/>
        </w:rPr>
      </w:pPr>
      <w:r>
        <w:rPr>
          <w:rFonts w:ascii="Calibri" w:hAnsi="Calibri" w:cs="Calibri"/>
        </w:rPr>
        <w:t>13 milliards pour le secteur médico-social. </w:t>
      </w:r>
    </w:p>
    <w:p w:rsidR="006917A5" w:rsidRDefault="003A2E79">
      <w:pPr>
        <w:suppressAutoHyphens w:val="0"/>
        <w:spacing w:beforeAutospacing="1" w:afterAutospacing="1"/>
        <w:jc w:val="both"/>
        <w:rPr>
          <w:rFonts w:asciiTheme="minorHAnsi" w:hAnsiTheme="minorHAnsi" w:cstheme="minorHAnsi"/>
          <w:b/>
          <w:bCs/>
          <w:u w:val="single"/>
        </w:rPr>
      </w:pPr>
      <w:r>
        <w:rPr>
          <w:rFonts w:asciiTheme="minorHAnsi" w:hAnsiTheme="minorHAnsi" w:cstheme="minorHAnsi"/>
          <w:b/>
          <w:bCs/>
          <w:u w:val="single"/>
        </w:rPr>
        <w:t>Document 2 : Les dépenses de santé liées à la santé mentale</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 xml:space="preserve">En France, les troubles psychiques affectent </w:t>
      </w:r>
      <w:r>
        <w:rPr>
          <w:rFonts w:asciiTheme="minorHAnsi" w:hAnsiTheme="minorHAnsi" w:cstheme="minorHAnsi"/>
          <w:b/>
          <w:bCs/>
        </w:rPr>
        <w:t>13 millions de personneschaque année</w:t>
      </w:r>
      <w:r>
        <w:rPr>
          <w:rFonts w:asciiTheme="minorHAnsi" w:hAnsiTheme="minorHAnsi" w:cstheme="minorHAnsi"/>
        </w:rPr>
        <w:t>, soit 1 personne sur 5.</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Si l’on regroupe les maladies psychiatriques et les traitements chroniques par psychotropes, la santé me</w:t>
      </w:r>
      <w:r>
        <w:rPr>
          <w:rFonts w:asciiTheme="minorHAnsi" w:hAnsiTheme="minorHAnsi" w:cstheme="minorHAnsi"/>
        </w:rPr>
        <w:t>n</w:t>
      </w:r>
      <w:r>
        <w:rPr>
          <w:rFonts w:asciiTheme="minorHAnsi" w:hAnsiTheme="minorHAnsi" w:cstheme="minorHAnsi"/>
        </w:rPr>
        <w:t xml:space="preserve">tale représente </w:t>
      </w:r>
      <w:r>
        <w:rPr>
          <w:rFonts w:asciiTheme="minorHAnsi" w:hAnsiTheme="minorHAnsi" w:cstheme="minorHAnsi"/>
          <w:b/>
          <w:bCs/>
        </w:rPr>
        <w:t>23,3 milliards d’€,</w:t>
      </w:r>
      <w:r>
        <w:rPr>
          <w:rFonts w:asciiTheme="minorHAnsi" w:hAnsiTheme="minorHAnsi" w:cstheme="minorHAnsi"/>
        </w:rPr>
        <w:t xml:space="preserve"> soit prè</w:t>
      </w:r>
      <w:r>
        <w:rPr>
          <w:rFonts w:asciiTheme="minorHAnsi" w:hAnsiTheme="minorHAnsi" w:cstheme="minorHAnsi"/>
        </w:rPr>
        <w:t xml:space="preserve">s de </w:t>
      </w:r>
      <w:r>
        <w:rPr>
          <w:rFonts w:asciiTheme="minorHAnsi" w:hAnsiTheme="minorHAnsi" w:cstheme="minorHAnsi"/>
          <w:b/>
          <w:bCs/>
        </w:rPr>
        <w:t>14 % des dépenses de santé de l’Assurance Maladie</w:t>
      </w:r>
      <w:r>
        <w:rPr>
          <w:rFonts w:asciiTheme="minorHAnsi" w:hAnsiTheme="minorHAnsi" w:cstheme="minorHAnsi"/>
        </w:rPr>
        <w:t xml:space="preserve">. Il s’agit du </w:t>
      </w:r>
      <w:r>
        <w:rPr>
          <w:rFonts w:asciiTheme="minorHAnsi" w:hAnsiTheme="minorHAnsi" w:cstheme="minorHAnsi"/>
          <w:b/>
          <w:bCs/>
        </w:rPr>
        <w:t>premier poste de dépenses</w:t>
      </w:r>
      <w:r>
        <w:rPr>
          <w:rFonts w:asciiTheme="minorHAnsi" w:hAnsiTheme="minorHAnsi" w:cstheme="minorHAnsi"/>
        </w:rPr>
        <w:t>, devant les cancers et les maladies cardiovasculaires. […]</w:t>
      </w:r>
    </w:p>
    <w:p w:rsidR="006917A5" w:rsidRDefault="003A2E79">
      <w:pPr>
        <w:suppressAutoHyphens w:val="0"/>
        <w:spacing w:line="259" w:lineRule="auto"/>
        <w:jc w:val="both"/>
        <w:rPr>
          <w:rFonts w:asciiTheme="minorHAnsi" w:eastAsiaTheme="minorHAnsi" w:hAnsiTheme="minorHAnsi" w:cstheme="minorHAnsi"/>
          <w:b/>
          <w:bCs/>
          <w:sz w:val="32"/>
          <w:szCs w:val="32"/>
          <w:u w:val="single"/>
          <w:lang w:eastAsia="en-US"/>
        </w:rPr>
      </w:pPr>
      <w:r>
        <w:rPr>
          <w:rFonts w:asciiTheme="minorHAnsi" w:hAnsiTheme="minorHAnsi" w:cstheme="minorHAnsi"/>
        </w:rPr>
        <w:t xml:space="preserve">Au-delà des dépenses directes pour le système de santé, ces maladies entrainent aussi des </w:t>
      </w:r>
      <w:r>
        <w:rPr>
          <w:rStyle w:val="lev"/>
          <w:rFonts w:asciiTheme="minorHAnsi" w:hAnsiTheme="minorHAnsi" w:cstheme="minorHAnsi"/>
        </w:rPr>
        <w:t>coûts indire</w:t>
      </w:r>
      <w:r>
        <w:rPr>
          <w:rStyle w:val="lev"/>
          <w:rFonts w:asciiTheme="minorHAnsi" w:hAnsiTheme="minorHAnsi" w:cstheme="minorHAnsi"/>
        </w:rPr>
        <w:t>cts liés à la perte de productivité, aux arrêts de travail, au chômage et aux situations de désinsertion profe</w:t>
      </w:r>
      <w:r>
        <w:rPr>
          <w:rStyle w:val="lev"/>
          <w:rFonts w:asciiTheme="minorHAnsi" w:hAnsiTheme="minorHAnsi" w:cstheme="minorHAnsi"/>
        </w:rPr>
        <w:t>s</w:t>
      </w:r>
      <w:r>
        <w:rPr>
          <w:rStyle w:val="lev"/>
          <w:rFonts w:asciiTheme="minorHAnsi" w:hAnsiTheme="minorHAnsi" w:cstheme="minorHAnsi"/>
        </w:rPr>
        <w:t>sionnelle</w:t>
      </w:r>
      <w:r>
        <w:rPr>
          <w:rFonts w:asciiTheme="minorHAnsi" w:hAnsiTheme="minorHAnsi" w:cstheme="minorHAnsi"/>
        </w:rPr>
        <w:t>. L’absence de dépistage précoce et les difficultés d’accès aux soinsaggravent ces situ</w:t>
      </w:r>
      <w:r>
        <w:rPr>
          <w:rFonts w:asciiTheme="minorHAnsi" w:hAnsiTheme="minorHAnsi" w:cstheme="minorHAnsi"/>
        </w:rPr>
        <w:t>a</w:t>
      </w:r>
      <w:r>
        <w:rPr>
          <w:rFonts w:asciiTheme="minorHAnsi" w:hAnsiTheme="minorHAnsi" w:cstheme="minorHAnsi"/>
        </w:rPr>
        <w:t xml:space="preserve">tions,entraînant précarité, isolement et </w:t>
      </w:r>
      <w:r>
        <w:rPr>
          <w:rFonts w:asciiTheme="minorHAnsi" w:hAnsiTheme="minorHAnsi" w:cstheme="minorHAnsi"/>
        </w:rPr>
        <w:t>hospitalisations répétées</w:t>
      </w:r>
      <w:r>
        <w:rPr>
          <w:rStyle w:val="lev"/>
          <w:rFonts w:asciiTheme="minorHAnsi" w:hAnsiTheme="minorHAnsi" w:cstheme="minorHAnsi"/>
        </w:rPr>
        <w:t>, avec des conséquences socio-économiques importantes pour les patients</w:t>
      </w:r>
      <w:r>
        <w:rPr>
          <w:rFonts w:asciiTheme="minorHAnsi" w:hAnsiTheme="minorHAnsi" w:cstheme="minorHAnsi"/>
        </w:rPr>
        <w:t>.</w:t>
      </w:r>
    </w:p>
    <w:p w:rsidR="006917A5" w:rsidRDefault="006917A5">
      <w:pPr>
        <w:suppressAutoHyphens w:val="0"/>
        <w:spacing w:line="259" w:lineRule="auto"/>
        <w:jc w:val="both"/>
        <w:rPr>
          <w:rFonts w:asciiTheme="minorHAnsi" w:eastAsiaTheme="minorHAnsi" w:hAnsiTheme="minorHAnsi" w:cstheme="minorHAnsi"/>
          <w:b/>
          <w:bCs/>
          <w:sz w:val="32"/>
          <w:szCs w:val="32"/>
          <w:u w:val="single"/>
          <w:lang w:eastAsia="en-US"/>
        </w:rPr>
      </w:pPr>
    </w:p>
    <w:p w:rsidR="006917A5" w:rsidRDefault="003A2E79">
      <w:pPr>
        <w:suppressAutoHyphens w:val="0"/>
        <w:spacing w:beforeAutospacing="1" w:afterAutospacing="1"/>
        <w:outlineLvl w:val="1"/>
        <w:rPr>
          <w:rFonts w:ascii="Calibri" w:hAnsi="Calibri" w:cs="Calibri"/>
          <w:b/>
          <w:bCs/>
          <w:sz w:val="28"/>
          <w:szCs w:val="28"/>
          <w:u w:val="single"/>
        </w:rPr>
      </w:pPr>
      <w:r>
        <w:rPr>
          <w:rFonts w:ascii="Calibri" w:hAnsi="Calibri" w:cs="Calibri"/>
          <w:b/>
          <w:bCs/>
          <w:sz w:val="28"/>
          <w:szCs w:val="28"/>
          <w:u w:val="single"/>
        </w:rPr>
        <w:lastRenderedPageBreak/>
        <w:t>Annexe 3 : Stratégie nationale : La santé mentale, un enjeu de santé publique</w:t>
      </w:r>
    </w:p>
    <w:p w:rsidR="006917A5" w:rsidRDefault="003A2E79">
      <w:pPr>
        <w:suppressAutoHyphens w:val="0"/>
        <w:spacing w:beforeAutospacing="1" w:afterAutospacing="1"/>
        <w:jc w:val="both"/>
        <w:outlineLvl w:val="1"/>
        <w:rPr>
          <w:rFonts w:ascii="Calibri" w:hAnsi="Calibri" w:cs="Calibri"/>
          <w:b/>
          <w:bCs/>
        </w:rPr>
      </w:pPr>
      <w:r>
        <w:rPr>
          <w:rFonts w:ascii="Calibri" w:hAnsi="Calibri" w:cs="Calibri"/>
        </w:rPr>
        <w:t>Présentée le 28 juin 2018, la Feuille de Route santé mentale et psychiatrie s’i</w:t>
      </w:r>
      <w:r>
        <w:rPr>
          <w:rFonts w:ascii="Calibri" w:hAnsi="Calibri" w:cs="Calibri"/>
        </w:rPr>
        <w:t>nscrit en cohérence avec les objectifs de la stratégie nationale de santé. Elle fixe le cap d’une transformation structurelle et systémique du champ de la santé mentale et de la psychiatrie.</w:t>
      </w:r>
    </w:p>
    <w:p w:rsidR="006917A5" w:rsidRDefault="00B64652">
      <w:pPr>
        <w:suppressAutoHyphens w:val="0"/>
        <w:jc w:val="both"/>
        <w:rPr>
          <w:rFonts w:ascii="Calibri" w:hAnsi="Calibri" w:cs="Calibri"/>
        </w:rPr>
      </w:pPr>
      <w:hyperlink r:id="rId9">
        <w:r w:rsidR="003A2E79">
          <w:rPr>
            <w:rFonts w:ascii="Calibri" w:hAnsi="Calibri" w:cs="Calibri"/>
            <w:u w:val="single"/>
          </w:rPr>
          <w:t>la Feuille de Rou</w:t>
        </w:r>
        <w:r w:rsidR="003A2E79">
          <w:rPr>
            <w:rFonts w:ascii="Calibri" w:hAnsi="Calibri" w:cs="Calibri"/>
            <w:u w:val="single"/>
          </w:rPr>
          <w:t>te santé mentale et psychiatrie</w:t>
        </w:r>
      </w:hyperlink>
      <w:r w:rsidR="003A2E79">
        <w:rPr>
          <w:rFonts w:ascii="Calibri" w:hAnsi="Calibri" w:cs="Calibri"/>
        </w:rPr>
        <w:t>, lancée en juin 2018, structure les actions gouverneme</w:t>
      </w:r>
      <w:r w:rsidR="003A2E79">
        <w:rPr>
          <w:rFonts w:ascii="Calibri" w:hAnsi="Calibri" w:cs="Calibri"/>
        </w:rPr>
        <w:t>n</w:t>
      </w:r>
      <w:r w:rsidR="003A2E79">
        <w:rPr>
          <w:rFonts w:ascii="Calibri" w:hAnsi="Calibri" w:cs="Calibri"/>
        </w:rPr>
        <w:t>tales allant de la santé mentale de tous à la prise en charge et l’insertion des personnes concernées par un trouble psychiatrique pour répondre à cet enjeu de santé pub</w:t>
      </w:r>
      <w:r w:rsidR="003A2E79">
        <w:rPr>
          <w:rFonts w:ascii="Calibri" w:hAnsi="Calibri" w:cs="Calibri"/>
        </w:rPr>
        <w:t xml:space="preserve">lique. </w:t>
      </w:r>
      <w:hyperlink r:id="rId10">
        <w:r w:rsidR="003A2E79">
          <w:rPr>
            <w:rFonts w:ascii="Calibri" w:hAnsi="Calibri" w:cs="Calibri"/>
            <w:u w:val="single"/>
          </w:rPr>
          <w:t>Enrichie en 2021 à l’occasion des A</w:t>
        </w:r>
        <w:r w:rsidR="003A2E79">
          <w:rPr>
            <w:rFonts w:ascii="Calibri" w:hAnsi="Calibri" w:cs="Calibri"/>
            <w:u w:val="single"/>
          </w:rPr>
          <w:t>s</w:t>
        </w:r>
        <w:r w:rsidR="003A2E79">
          <w:rPr>
            <w:rFonts w:ascii="Calibri" w:hAnsi="Calibri" w:cs="Calibri"/>
            <w:u w:val="single"/>
          </w:rPr>
          <w:t>sises de la santé mentale et de la psychiatrie</w:t>
        </w:r>
      </w:hyperlink>
      <w:r w:rsidR="003A2E79">
        <w:rPr>
          <w:rFonts w:ascii="Calibri" w:hAnsi="Calibri" w:cs="Calibri"/>
        </w:rPr>
        <w:t>, elle</w:t>
      </w:r>
      <w:r w:rsidR="003A2E79">
        <w:rPr>
          <w:rFonts w:ascii="Calibri" w:hAnsi="Calibri" w:cs="Calibri"/>
        </w:rPr>
        <w:t xml:space="preserve"> se compose aujourd’hui de </w:t>
      </w:r>
      <w:r w:rsidR="003A2E79">
        <w:rPr>
          <w:rFonts w:ascii="Calibri" w:hAnsi="Calibri" w:cs="Calibri"/>
          <w:b/>
          <w:bCs/>
        </w:rPr>
        <w:t>51 actions et sous actions en cours de déploiement</w:t>
      </w:r>
      <w:r w:rsidR="003A2E79">
        <w:rPr>
          <w:rFonts w:ascii="Calibri" w:hAnsi="Calibri" w:cs="Calibri"/>
        </w:rPr>
        <w:t>, dans une logique résolument holistique de soutien au rétablissement et d’accès par les droits, selon trois axes :</w:t>
      </w:r>
    </w:p>
    <w:p w:rsidR="006917A5" w:rsidRDefault="003A2E79">
      <w:pPr>
        <w:suppressAutoHyphens w:val="0"/>
        <w:jc w:val="both"/>
        <w:rPr>
          <w:rFonts w:ascii="Calibri" w:hAnsi="Calibri" w:cs="Calibri"/>
        </w:rPr>
      </w:pPr>
      <w:r>
        <w:rPr>
          <w:rFonts w:ascii="Calibri" w:hAnsi="Calibri" w:cs="Calibri"/>
        </w:rPr>
        <w:t xml:space="preserve">1. </w:t>
      </w:r>
      <w:r>
        <w:rPr>
          <w:rFonts w:ascii="Calibri" w:hAnsi="Calibri" w:cs="Calibri"/>
          <w:b/>
          <w:bCs/>
        </w:rPr>
        <w:t>Promouvoir</w:t>
      </w:r>
      <w:r>
        <w:rPr>
          <w:rFonts w:ascii="Calibri" w:hAnsi="Calibri" w:cs="Calibri"/>
        </w:rPr>
        <w:t xml:space="preserve"> le bien être mental, prévenir et repérer précocem</w:t>
      </w:r>
      <w:r>
        <w:rPr>
          <w:rFonts w:ascii="Calibri" w:hAnsi="Calibri" w:cs="Calibri"/>
        </w:rPr>
        <w:t>ent la souffrance psychique, et prévenir le suicide ;</w:t>
      </w:r>
    </w:p>
    <w:p w:rsidR="006917A5" w:rsidRDefault="003A2E79">
      <w:pPr>
        <w:suppressAutoHyphens w:val="0"/>
        <w:jc w:val="both"/>
        <w:rPr>
          <w:rFonts w:ascii="Calibri" w:hAnsi="Calibri" w:cs="Calibri"/>
        </w:rPr>
      </w:pPr>
      <w:r>
        <w:rPr>
          <w:rFonts w:ascii="Calibri" w:hAnsi="Calibri" w:cs="Calibri"/>
        </w:rPr>
        <w:t xml:space="preserve">2. </w:t>
      </w:r>
      <w:r>
        <w:rPr>
          <w:rFonts w:ascii="Calibri" w:hAnsi="Calibri" w:cs="Calibri"/>
          <w:b/>
          <w:bCs/>
        </w:rPr>
        <w:t>Garantir</w:t>
      </w:r>
      <w:r>
        <w:rPr>
          <w:rFonts w:ascii="Calibri" w:hAnsi="Calibri" w:cs="Calibri"/>
        </w:rPr>
        <w:t xml:space="preserve"> des parcours de soins coordonnés et soutenus par une offre en psychiatrie accessible, diversifiée et de qualité ;</w:t>
      </w:r>
    </w:p>
    <w:p w:rsidR="006917A5" w:rsidRDefault="003A2E79">
      <w:pPr>
        <w:suppressAutoHyphens w:val="0"/>
        <w:jc w:val="both"/>
        <w:rPr>
          <w:rFonts w:ascii="Calibri" w:hAnsi="Calibri" w:cs="Calibri"/>
        </w:rPr>
      </w:pPr>
      <w:r>
        <w:rPr>
          <w:rFonts w:ascii="Calibri" w:hAnsi="Calibri" w:cs="Calibri"/>
        </w:rPr>
        <w:t xml:space="preserve">3. </w:t>
      </w:r>
      <w:r>
        <w:rPr>
          <w:rFonts w:ascii="Calibri" w:hAnsi="Calibri" w:cs="Calibri"/>
          <w:b/>
          <w:bCs/>
        </w:rPr>
        <w:t>Améliorer</w:t>
      </w:r>
      <w:r>
        <w:rPr>
          <w:rFonts w:ascii="Calibri" w:hAnsi="Calibri" w:cs="Calibri"/>
        </w:rPr>
        <w:t xml:space="preserve"> les conditions de vie et d’inclusion sociale et la citoyenneté des personnes en situation de handicap psychique.</w:t>
      </w:r>
    </w:p>
    <w:p w:rsidR="006917A5" w:rsidRDefault="003A2E79">
      <w:pPr>
        <w:suppressAutoHyphens w:val="0"/>
        <w:spacing w:beforeAutospacing="1" w:afterAutospacing="1"/>
        <w:jc w:val="both"/>
        <w:outlineLvl w:val="3"/>
        <w:rPr>
          <w:rFonts w:ascii="Calibri" w:hAnsi="Calibri" w:cs="Calibri"/>
          <w:b/>
          <w:bCs/>
          <w:u w:val="single"/>
        </w:rPr>
      </w:pPr>
      <w:r>
        <w:rPr>
          <w:rFonts w:ascii="Calibri" w:hAnsi="Calibri" w:cs="Calibri"/>
          <w:b/>
          <w:bCs/>
          <w:u w:val="single"/>
        </w:rPr>
        <w:t>État d’avancement</w:t>
      </w:r>
    </w:p>
    <w:p w:rsidR="006917A5" w:rsidRDefault="003A2E79">
      <w:pPr>
        <w:suppressAutoHyphens w:val="0"/>
        <w:spacing w:beforeAutospacing="1" w:afterAutospacing="1"/>
        <w:jc w:val="both"/>
        <w:rPr>
          <w:rFonts w:ascii="Calibri" w:hAnsi="Calibri" w:cs="Calibri"/>
        </w:rPr>
      </w:pPr>
      <w:r>
        <w:rPr>
          <w:rFonts w:ascii="Calibri" w:hAnsi="Calibri" w:cs="Calibri"/>
        </w:rPr>
        <w:t>Le chemin parcouru par la politique de santé mentale et de psychiatrie depuis le lancement de la feuille de route traduit : </w:t>
      </w:r>
    </w:p>
    <w:p w:rsidR="006917A5" w:rsidRDefault="003A2E79">
      <w:pPr>
        <w:numPr>
          <w:ilvl w:val="0"/>
          <w:numId w:val="7"/>
        </w:numPr>
        <w:suppressAutoHyphens w:val="0"/>
        <w:spacing w:beforeAutospacing="1" w:afterAutospacing="1"/>
        <w:jc w:val="both"/>
        <w:rPr>
          <w:rFonts w:ascii="Calibri" w:hAnsi="Calibri" w:cs="Calibri"/>
        </w:rPr>
      </w:pPr>
      <w:r>
        <w:rPr>
          <w:rFonts w:ascii="Calibri" w:hAnsi="Calibri" w:cs="Calibri"/>
          <w:b/>
          <w:bCs/>
        </w:rPr>
        <w:t>Des avancées notables en matière de promotion du bien-être mental et de prévention de la sou</w:t>
      </w:r>
      <w:r>
        <w:rPr>
          <w:rFonts w:ascii="Calibri" w:hAnsi="Calibri" w:cs="Calibri"/>
          <w:b/>
          <w:bCs/>
        </w:rPr>
        <w:t>f</w:t>
      </w:r>
      <w:r>
        <w:rPr>
          <w:rFonts w:ascii="Calibri" w:hAnsi="Calibri" w:cs="Calibri"/>
          <w:b/>
          <w:bCs/>
        </w:rPr>
        <w:t>france psychique.</w:t>
      </w:r>
    </w:p>
    <w:p w:rsidR="006917A5" w:rsidRDefault="003A2E79">
      <w:pPr>
        <w:numPr>
          <w:ilvl w:val="0"/>
          <w:numId w:val="8"/>
        </w:numPr>
        <w:suppressAutoHyphens w:val="0"/>
        <w:spacing w:beforeAutospacing="1" w:afterAutospacing="1"/>
        <w:jc w:val="both"/>
        <w:rPr>
          <w:rFonts w:ascii="Calibri" w:hAnsi="Calibri" w:cs="Calibri"/>
        </w:rPr>
      </w:pPr>
      <w:r>
        <w:rPr>
          <w:rFonts w:ascii="Calibri" w:hAnsi="Calibri" w:cs="Calibri"/>
          <w:b/>
          <w:bCs/>
        </w:rPr>
        <w:t>La poursuite du maillage territorial de l’offre de soins psychiatriques</w:t>
      </w:r>
      <w:r>
        <w:rPr>
          <w:rFonts w:ascii="Calibri" w:hAnsi="Calibri" w:cs="Calibri"/>
        </w:rPr>
        <w:t xml:space="preserve"> dans le contexte difficile de la démographie des professions de soin psychique, notamment à travers la mise en œuvre des Projets territoriaux de santé mentale (PTSM), les campagnes annuelles d’appels à projets nationaux en f</w:t>
      </w:r>
      <w:r>
        <w:rPr>
          <w:rFonts w:ascii="Calibri" w:hAnsi="Calibri" w:cs="Calibri"/>
        </w:rPr>
        <w:t>a</w:t>
      </w:r>
      <w:r>
        <w:rPr>
          <w:rFonts w:ascii="Calibri" w:hAnsi="Calibri" w:cs="Calibri"/>
        </w:rPr>
        <w:t>veur de la psychiatrie de l’en</w:t>
      </w:r>
      <w:r>
        <w:rPr>
          <w:rFonts w:ascii="Calibri" w:hAnsi="Calibri" w:cs="Calibri"/>
        </w:rPr>
        <w:t>fant et de l’adolescent et en faveur de l’innovation organisationnelle et les réformes structurantes de l’offre de soins psychiatriques (réforme du financement et réforme des autorisations).</w:t>
      </w:r>
    </w:p>
    <w:p w:rsidR="006917A5" w:rsidRDefault="003A2E79">
      <w:pPr>
        <w:numPr>
          <w:ilvl w:val="0"/>
          <w:numId w:val="9"/>
        </w:numPr>
        <w:suppressAutoHyphens w:val="0"/>
        <w:spacing w:beforeAutospacing="1" w:afterAutospacing="1"/>
        <w:jc w:val="both"/>
        <w:rPr>
          <w:rFonts w:ascii="Calibri" w:hAnsi="Calibri" w:cs="Calibri"/>
        </w:rPr>
      </w:pPr>
      <w:r>
        <w:rPr>
          <w:rFonts w:ascii="Calibri" w:hAnsi="Calibri" w:cs="Calibri"/>
          <w:b/>
          <w:bCs/>
        </w:rPr>
        <w:t xml:space="preserve">Des leviers renforcés pour l’insertion sociale et la citoyenneté </w:t>
      </w:r>
      <w:r>
        <w:rPr>
          <w:rFonts w:ascii="Calibri" w:hAnsi="Calibri" w:cs="Calibri"/>
          <w:b/>
          <w:bCs/>
        </w:rPr>
        <w:t xml:space="preserve">des personnes en situation de troubles ou de handicaps psychiques. </w:t>
      </w:r>
    </w:p>
    <w:p w:rsidR="006917A5" w:rsidRDefault="003A2E79">
      <w:pPr>
        <w:suppressAutoHyphens w:val="0"/>
        <w:spacing w:beforeAutospacing="1" w:afterAutospacing="1"/>
        <w:jc w:val="both"/>
        <w:rPr>
          <w:rFonts w:ascii="Calibri" w:hAnsi="Calibri" w:cs="Calibri"/>
        </w:rPr>
      </w:pPr>
      <w:r>
        <w:rPr>
          <w:rFonts w:ascii="Calibri" w:hAnsi="Calibri" w:cs="Calibri"/>
        </w:rPr>
        <w:t>Au total, plus de 3,3 milliards d’euros supplémentaires auront été mobilisés pour le déploiement des a</w:t>
      </w:r>
      <w:r>
        <w:rPr>
          <w:rFonts w:ascii="Calibri" w:hAnsi="Calibri" w:cs="Calibri"/>
        </w:rPr>
        <w:t>c</w:t>
      </w:r>
      <w:r>
        <w:rPr>
          <w:rFonts w:ascii="Calibri" w:hAnsi="Calibri" w:cs="Calibri"/>
        </w:rPr>
        <w:t>tions de la Feuille de route nationale depuis son lancement jusqu’en 2026.</w:t>
      </w:r>
    </w:p>
    <w:p w:rsidR="006917A5" w:rsidRDefault="003A2E79">
      <w:pPr>
        <w:suppressAutoHyphens w:val="0"/>
        <w:spacing w:beforeAutospacing="1" w:afterAutospacing="1"/>
        <w:jc w:val="both"/>
        <w:rPr>
          <w:rFonts w:ascii="Calibri" w:hAnsi="Calibri" w:cs="Calibri"/>
        </w:rPr>
      </w:pPr>
      <w:r>
        <w:rPr>
          <w:rFonts w:ascii="Calibri" w:hAnsi="Calibri" w:cs="Calibri"/>
        </w:rPr>
        <w:t>Depuis mai</w:t>
      </w:r>
      <w:r>
        <w:rPr>
          <w:rFonts w:ascii="Calibri" w:hAnsi="Calibri" w:cs="Calibri"/>
        </w:rPr>
        <w:t xml:space="preserve"> 2019, </w:t>
      </w:r>
      <w:r>
        <w:rPr>
          <w:rFonts w:ascii="Calibri" w:hAnsi="Calibri" w:cs="Calibri"/>
          <w:b/>
          <w:bCs/>
        </w:rPr>
        <w:t>le Pr Franck Bellivier</w:t>
      </w:r>
      <w:r>
        <w:rPr>
          <w:rFonts w:ascii="Calibri" w:hAnsi="Calibri" w:cs="Calibri"/>
        </w:rPr>
        <w:t xml:space="preserve">, Délégué ministériel à la santé mentale et la psychiatrie, </w:t>
      </w:r>
      <w:r>
        <w:rPr>
          <w:rFonts w:ascii="Calibri" w:hAnsi="Calibri" w:cs="Calibri"/>
          <w:b/>
          <w:bCs/>
        </w:rPr>
        <w:t>assure le portage et le suivi de la feuille de route nationale</w:t>
      </w:r>
      <w:r>
        <w:rPr>
          <w:rFonts w:ascii="Calibri" w:hAnsi="Calibri" w:cs="Calibri"/>
        </w:rPr>
        <w:t>. Avec l’appui d’une équipe resserrée, il anime et coo</w:t>
      </w:r>
      <w:r>
        <w:rPr>
          <w:rFonts w:ascii="Calibri" w:hAnsi="Calibri" w:cs="Calibri"/>
        </w:rPr>
        <w:t>r</w:t>
      </w:r>
      <w:r>
        <w:rPr>
          <w:rFonts w:ascii="Calibri" w:hAnsi="Calibri" w:cs="Calibri"/>
        </w:rPr>
        <w:t>donne l’action conjointe des administrations centr</w:t>
      </w:r>
      <w:r>
        <w:rPr>
          <w:rFonts w:ascii="Calibri" w:hAnsi="Calibri" w:cs="Calibri"/>
        </w:rPr>
        <w:t>ales du ministère chargé de la Santé, des opérateurs n</w:t>
      </w:r>
      <w:r>
        <w:rPr>
          <w:rFonts w:ascii="Calibri" w:hAnsi="Calibri" w:cs="Calibri"/>
        </w:rPr>
        <w:t>a</w:t>
      </w:r>
      <w:r>
        <w:rPr>
          <w:rFonts w:ascii="Calibri" w:hAnsi="Calibri" w:cs="Calibri"/>
        </w:rPr>
        <w:t>tionaux et internationaux, ainsi que des Agences régionales de santé (ARS).</w:t>
      </w:r>
    </w:p>
    <w:p w:rsidR="006917A5" w:rsidRDefault="003A2E79">
      <w:pPr>
        <w:suppressAutoHyphens w:val="0"/>
        <w:spacing w:beforeAutospacing="1" w:afterAutospacing="1"/>
        <w:jc w:val="both"/>
        <w:rPr>
          <w:rFonts w:ascii="Calibri" w:hAnsi="Calibri" w:cs="Calibri"/>
        </w:rPr>
      </w:pPr>
      <w:r>
        <w:rPr>
          <w:rFonts w:ascii="Calibri" w:hAnsi="Calibri" w:cs="Calibri"/>
        </w:rPr>
        <w:t xml:space="preserve">Chaque début d’année, le bilan de la feuille de route sur l’année écoulée est présenté au </w:t>
      </w:r>
      <w:hyperlink r:id="rId11">
        <w:r>
          <w:rPr>
            <w:rFonts w:ascii="Calibri" w:hAnsi="Calibri" w:cs="Calibri"/>
            <w:u w:val="single"/>
          </w:rPr>
          <w:t>Comité strat</w:t>
        </w:r>
        <w:r>
          <w:rPr>
            <w:rFonts w:ascii="Calibri" w:hAnsi="Calibri" w:cs="Calibri"/>
            <w:u w:val="single"/>
          </w:rPr>
          <w:t>é</w:t>
        </w:r>
        <w:r>
          <w:rPr>
            <w:rFonts w:ascii="Calibri" w:hAnsi="Calibri" w:cs="Calibri"/>
            <w:u w:val="single"/>
          </w:rPr>
          <w:t>gique santé mentale et psychiatrie</w:t>
        </w:r>
      </w:hyperlink>
      <w:r>
        <w:rPr>
          <w:rFonts w:ascii="Calibri" w:hAnsi="Calibri" w:cs="Calibri"/>
        </w:rPr>
        <w:t>.</w:t>
      </w:r>
    </w:p>
    <w:p w:rsidR="006917A5" w:rsidRDefault="003A2E79">
      <w:pPr>
        <w:suppressAutoHyphens w:val="0"/>
        <w:spacing w:beforeAutospacing="1" w:afterAutospacing="1"/>
        <w:jc w:val="both"/>
        <w:rPr>
          <w:rFonts w:ascii="Calibri" w:hAnsi="Calibri" w:cs="Calibri"/>
        </w:rPr>
      </w:pPr>
      <w:r>
        <w:rPr>
          <w:rFonts w:ascii="Calibri" w:hAnsi="Calibri" w:cs="Calibri"/>
        </w:rPr>
        <w:t>La santé mentale de chacun e</w:t>
      </w:r>
      <w:r>
        <w:rPr>
          <w:rFonts w:ascii="Calibri" w:hAnsi="Calibri" w:cs="Calibri"/>
        </w:rPr>
        <w:t xml:space="preserve">st influencée par de nombreux </w:t>
      </w:r>
      <w:hyperlink r:id="rId12">
        <w:r>
          <w:rPr>
            <w:rFonts w:ascii="Calibri" w:hAnsi="Calibri" w:cs="Calibri"/>
            <w:b/>
            <w:bCs/>
            <w:u w:val="single"/>
          </w:rPr>
          <w:t>déterminants individuels et sociétaux</w:t>
        </w:r>
      </w:hyperlink>
      <w:r>
        <w:rPr>
          <w:rFonts w:ascii="Calibri" w:hAnsi="Calibri" w:cs="Calibri"/>
        </w:rPr>
        <w:t xml:space="preserve"> et peut être négativement ou positivement impa</w:t>
      </w:r>
      <w:r>
        <w:rPr>
          <w:rFonts w:ascii="Calibri" w:hAnsi="Calibri" w:cs="Calibri"/>
        </w:rPr>
        <w:t>ctée par les conditions de vie, de travail, de logement, de rythme de vie, de qualité des interactions sociales. La politique de santé mentale doit donc, en plus de la constru</w:t>
      </w:r>
      <w:r>
        <w:rPr>
          <w:rFonts w:ascii="Calibri" w:hAnsi="Calibri" w:cs="Calibri"/>
        </w:rPr>
        <w:t>c</w:t>
      </w:r>
      <w:r>
        <w:rPr>
          <w:rFonts w:ascii="Calibri" w:hAnsi="Calibri" w:cs="Calibri"/>
        </w:rPr>
        <w:t xml:space="preserve">tion des parcours de repérage, soins, accompagnements, </w:t>
      </w:r>
      <w:r>
        <w:rPr>
          <w:rFonts w:ascii="Calibri" w:hAnsi="Calibri" w:cs="Calibri"/>
          <w:b/>
          <w:bCs/>
        </w:rPr>
        <w:t>mobiliser de façon transv</w:t>
      </w:r>
      <w:r>
        <w:rPr>
          <w:rFonts w:ascii="Calibri" w:hAnsi="Calibri" w:cs="Calibri"/>
          <w:b/>
          <w:bCs/>
        </w:rPr>
        <w:t xml:space="preserve">ersale et sur chaque </w:t>
      </w:r>
      <w:r>
        <w:rPr>
          <w:rFonts w:ascii="Calibri" w:hAnsi="Calibri" w:cs="Calibri"/>
          <w:b/>
          <w:bCs/>
        </w:rPr>
        <w:lastRenderedPageBreak/>
        <w:t>territoire de multiples leviers.</w:t>
      </w:r>
      <w:r>
        <w:rPr>
          <w:rFonts w:ascii="Calibri" w:hAnsi="Calibri" w:cs="Calibri"/>
        </w:rPr>
        <w:t xml:space="preserve"> La santé mentale dépend aussi de </w:t>
      </w:r>
      <w:r>
        <w:rPr>
          <w:rFonts w:ascii="Calibri" w:hAnsi="Calibri" w:cs="Calibri"/>
          <w:b/>
          <w:bCs/>
        </w:rPr>
        <w:t>déterminants individuels</w:t>
      </w:r>
      <w:r>
        <w:rPr>
          <w:rFonts w:ascii="Calibri" w:hAnsi="Calibri" w:cs="Calibri"/>
        </w:rPr>
        <w:t xml:space="preserve"> qui s’imposent à nous (facteurs génétiques, événements de vie tels que des deuils, exposition aux traumas…), chacun peut par ailleurs adopter le</w:t>
      </w:r>
      <w:r>
        <w:rPr>
          <w:rFonts w:ascii="Calibri" w:hAnsi="Calibri" w:cs="Calibri"/>
        </w:rPr>
        <w:t>s comportements et habitudes de vie favorables à la santé mentale.</w:t>
      </w:r>
    </w:p>
    <w:p w:rsidR="006917A5" w:rsidRDefault="00B64652">
      <w:pPr>
        <w:suppressAutoHyphens w:val="0"/>
        <w:spacing w:after="160" w:line="259" w:lineRule="auto"/>
        <w:jc w:val="right"/>
        <w:rPr>
          <w:rFonts w:asciiTheme="minorHAnsi" w:eastAsiaTheme="minorHAnsi" w:hAnsiTheme="minorHAnsi" w:cstheme="minorBidi"/>
          <w:b/>
          <w:bCs/>
          <w:i/>
          <w:iCs/>
          <w:sz w:val="22"/>
          <w:szCs w:val="22"/>
          <w:u w:val="single"/>
          <w:lang w:eastAsia="en-US"/>
        </w:rPr>
      </w:pPr>
      <w:hyperlink r:id="rId13">
        <w:r w:rsidR="003A2E79">
          <w:rPr>
            <w:rStyle w:val="Lienhypertexte"/>
            <w:rFonts w:asciiTheme="minorHAnsi" w:eastAsiaTheme="minorHAnsi" w:hAnsiTheme="minorHAnsi" w:cstheme="minorBidi"/>
            <w:b/>
            <w:bCs/>
            <w:i/>
            <w:iCs/>
            <w:sz w:val="22"/>
            <w:szCs w:val="22"/>
            <w:lang w:eastAsia="en-US"/>
          </w:rPr>
          <w:t>https://sante.gouv.fr/</w:t>
        </w:r>
      </w:hyperlink>
      <w:r w:rsidR="003A2E79">
        <w:rPr>
          <w:rFonts w:asciiTheme="minorHAnsi" w:eastAsiaTheme="minorHAnsi" w:hAnsiTheme="minorHAnsi" w:cstheme="minorBidi"/>
          <w:b/>
          <w:bCs/>
          <w:i/>
          <w:iCs/>
          <w:sz w:val="22"/>
          <w:szCs w:val="22"/>
          <w:u w:val="single"/>
          <w:lang w:eastAsia="en-US"/>
        </w:rPr>
        <w:t xml:space="preserve"> - juin 2025</w:t>
      </w:r>
    </w:p>
    <w:p w:rsidR="006917A5" w:rsidRDefault="006917A5">
      <w:pPr>
        <w:suppressAutoHyphens w:val="0"/>
        <w:spacing w:line="259" w:lineRule="auto"/>
        <w:jc w:val="right"/>
        <w:rPr>
          <w:rFonts w:asciiTheme="minorHAnsi" w:eastAsiaTheme="minorHAnsi" w:hAnsiTheme="minorHAnsi" w:cstheme="minorHAnsi"/>
          <w:b/>
          <w:bCs/>
          <w:sz w:val="32"/>
          <w:szCs w:val="32"/>
          <w:u w:val="single"/>
          <w:lang w:eastAsia="en-US"/>
        </w:rPr>
      </w:pPr>
    </w:p>
    <w:p w:rsidR="006917A5" w:rsidRDefault="003A2E79">
      <w:pPr>
        <w:suppressAutoHyphens w:val="0"/>
        <w:spacing w:line="259" w:lineRule="auto"/>
        <w:jc w:val="both"/>
        <w:rPr>
          <w:rFonts w:asciiTheme="minorHAnsi" w:eastAsiaTheme="minorHAnsi" w:hAnsiTheme="minorHAnsi" w:cstheme="minorHAnsi"/>
          <w:b/>
          <w:bCs/>
          <w:sz w:val="32"/>
          <w:szCs w:val="32"/>
          <w:u w:val="single"/>
          <w:lang w:eastAsia="en-US"/>
        </w:rPr>
      </w:pPr>
      <w:r>
        <w:rPr>
          <w:rFonts w:asciiTheme="minorHAnsi" w:eastAsiaTheme="minorHAnsi" w:hAnsiTheme="minorHAnsi" w:cstheme="minorHAnsi"/>
          <w:b/>
          <w:bCs/>
          <w:sz w:val="32"/>
          <w:szCs w:val="32"/>
          <w:u w:val="single"/>
          <w:lang w:eastAsia="en-US"/>
        </w:rPr>
        <w:t>Annexe 4 : Unafam : une association pour les personnes malades et/ou hand</w:t>
      </w:r>
      <w:r>
        <w:rPr>
          <w:rFonts w:asciiTheme="minorHAnsi" w:eastAsiaTheme="minorHAnsi" w:hAnsiTheme="minorHAnsi" w:cstheme="minorHAnsi"/>
          <w:b/>
          <w:bCs/>
          <w:sz w:val="32"/>
          <w:szCs w:val="32"/>
          <w:u w:val="single"/>
          <w:lang w:eastAsia="en-US"/>
        </w:rPr>
        <w:t>i</w:t>
      </w:r>
      <w:r>
        <w:rPr>
          <w:rFonts w:asciiTheme="minorHAnsi" w:eastAsiaTheme="minorHAnsi" w:hAnsiTheme="minorHAnsi" w:cstheme="minorHAnsi"/>
          <w:b/>
          <w:bCs/>
          <w:sz w:val="32"/>
          <w:szCs w:val="32"/>
          <w:u w:val="single"/>
          <w:lang w:eastAsia="en-US"/>
        </w:rPr>
        <w:t>capées psychiques</w:t>
      </w:r>
    </w:p>
    <w:p w:rsidR="006917A5" w:rsidRDefault="006917A5">
      <w:pPr>
        <w:suppressAutoHyphens w:val="0"/>
        <w:spacing w:line="259" w:lineRule="auto"/>
        <w:jc w:val="both"/>
        <w:rPr>
          <w:rFonts w:asciiTheme="minorHAnsi" w:eastAsiaTheme="minorHAnsi" w:hAnsiTheme="minorHAnsi" w:cstheme="minorHAnsi"/>
          <w:b/>
          <w:bCs/>
          <w:sz w:val="32"/>
          <w:szCs w:val="32"/>
          <w:u w:val="single"/>
          <w:lang w:eastAsia="en-US"/>
        </w:rPr>
      </w:pPr>
    </w:p>
    <w:p w:rsidR="006917A5" w:rsidRDefault="003A2E79">
      <w:pPr>
        <w:suppressAutoHyphens w:val="0"/>
        <w:spacing w:line="259" w:lineRule="auto"/>
        <w:jc w:val="both"/>
        <w:rPr>
          <w:rFonts w:asciiTheme="minorHAnsi" w:eastAsiaTheme="minorHAnsi" w:hAnsiTheme="minorHAnsi" w:cstheme="minorHAnsi"/>
          <w:b/>
          <w:bCs/>
          <w:sz w:val="32"/>
          <w:szCs w:val="32"/>
          <w:u w:val="single"/>
          <w:lang w:eastAsia="en-US"/>
        </w:rPr>
      </w:pPr>
      <w:r>
        <w:rPr>
          <w:noProof/>
        </w:rPr>
        <w:drawing>
          <wp:inline distT="0" distB="0" distL="0" distR="0">
            <wp:extent cx="6696710" cy="234188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14"/>
                    <a:stretch>
                      <a:fillRect/>
                    </a:stretch>
                  </pic:blipFill>
                  <pic:spPr bwMode="auto">
                    <a:xfrm>
                      <a:off x="0" y="0"/>
                      <a:ext cx="6696710" cy="2341880"/>
                    </a:xfrm>
                    <a:prstGeom prst="rect">
                      <a:avLst/>
                    </a:prstGeom>
                    <a:noFill/>
                  </pic:spPr>
                </pic:pic>
              </a:graphicData>
            </a:graphic>
          </wp:inline>
        </w:drawing>
      </w:r>
    </w:p>
    <w:p w:rsidR="006917A5" w:rsidRDefault="003A2E79">
      <w:pPr>
        <w:suppressAutoHyphens w:val="0"/>
        <w:spacing w:line="259" w:lineRule="auto"/>
        <w:jc w:val="both"/>
        <w:rPr>
          <w:rFonts w:asciiTheme="minorHAnsi" w:hAnsiTheme="minorHAnsi" w:cstheme="minorHAnsi"/>
        </w:rPr>
      </w:pPr>
      <w:r>
        <w:rPr>
          <w:rFonts w:asciiTheme="minorHAnsi" w:hAnsiTheme="minorHAnsi" w:cstheme="minorHAnsi"/>
          <w:b/>
          <w:bCs/>
          <w:u w:val="single"/>
        </w:rPr>
        <w:t>Nos valeurs :</w:t>
      </w:r>
      <w:r>
        <w:rPr>
          <w:rFonts w:asciiTheme="minorHAnsi" w:hAnsiTheme="minorHAnsi" w:cstheme="minorHAnsi"/>
        </w:rPr>
        <w:t xml:space="preserve"> Le souci et le respect de la personne, la solidarité, le militantisme, la démocratie en santé constituent le socle des valeurs sur lesquelles l'Unafam construit son action pour soutenir les familles, d</w:t>
      </w:r>
      <w:r>
        <w:rPr>
          <w:rFonts w:asciiTheme="minorHAnsi" w:hAnsiTheme="minorHAnsi" w:cstheme="minorHAnsi"/>
        </w:rPr>
        <w:t>é</w:t>
      </w:r>
      <w:r>
        <w:rPr>
          <w:rFonts w:asciiTheme="minorHAnsi" w:hAnsiTheme="minorHAnsi" w:cstheme="minorHAnsi"/>
        </w:rPr>
        <w:t>fendre les intérêts des familles et des personnes viv</w:t>
      </w:r>
      <w:r>
        <w:rPr>
          <w:rFonts w:asciiTheme="minorHAnsi" w:hAnsiTheme="minorHAnsi" w:cstheme="minorHAnsi"/>
        </w:rPr>
        <w:t>ant avec des troubles psychiques, améliorer leur accès à des soins de qualité, améliorer leur parcours de vie, favoriser leur insertion sociale et professionnelle et accroître leur autonomie dans la cité.</w:t>
      </w:r>
    </w:p>
    <w:p w:rsidR="006917A5" w:rsidRDefault="006917A5">
      <w:pPr>
        <w:rPr>
          <w:rFonts w:asciiTheme="minorHAnsi" w:hAnsiTheme="minorHAnsi" w:cstheme="minorHAnsi"/>
          <w:b/>
          <w:bCs/>
          <w:i/>
          <w:iCs/>
          <w:sz w:val="20"/>
          <w:szCs w:val="20"/>
          <w:u w:val="single"/>
        </w:rPr>
      </w:pPr>
    </w:p>
    <w:p w:rsidR="006917A5" w:rsidRDefault="006917A5">
      <w:pPr>
        <w:jc w:val="right"/>
        <w:rPr>
          <w:rFonts w:asciiTheme="minorHAnsi" w:hAnsiTheme="minorHAnsi" w:cstheme="minorHAnsi"/>
          <w:b/>
          <w:bCs/>
          <w:i/>
          <w:iCs/>
          <w:sz w:val="20"/>
          <w:szCs w:val="20"/>
          <w:u w:val="single"/>
        </w:rPr>
      </w:pPr>
    </w:p>
    <w:p w:rsidR="006917A5" w:rsidRDefault="003A2E79">
      <w:pPr>
        <w:jc w:val="right"/>
        <w:rPr>
          <w:rFonts w:asciiTheme="minorHAnsi" w:hAnsiTheme="minorHAnsi" w:cstheme="minorHAnsi"/>
          <w:b/>
          <w:bCs/>
          <w:i/>
          <w:iCs/>
          <w:sz w:val="20"/>
          <w:szCs w:val="20"/>
          <w:u w:val="single"/>
        </w:rPr>
      </w:pPr>
      <w:r>
        <w:rPr>
          <w:rFonts w:asciiTheme="minorHAnsi" w:hAnsiTheme="minorHAnsi" w:cstheme="minorHAnsi"/>
          <w:b/>
          <w:bCs/>
          <w:i/>
          <w:iCs/>
          <w:sz w:val="20"/>
          <w:szCs w:val="20"/>
          <w:u w:val="single"/>
        </w:rPr>
        <w:t>https://www.unafam.org/herault</w:t>
      </w:r>
    </w:p>
    <w:p w:rsidR="006917A5" w:rsidRDefault="006917A5">
      <w:pPr>
        <w:jc w:val="both"/>
        <w:rPr>
          <w:rFonts w:asciiTheme="minorHAnsi" w:hAnsiTheme="minorHAnsi" w:cstheme="minorHAnsi"/>
          <w:b/>
          <w:bCs/>
          <w:sz w:val="32"/>
          <w:szCs w:val="32"/>
          <w:u w:val="single"/>
        </w:rPr>
      </w:pPr>
    </w:p>
    <w:p w:rsidR="006917A5" w:rsidRDefault="006917A5">
      <w:pPr>
        <w:jc w:val="both"/>
        <w:rPr>
          <w:rFonts w:asciiTheme="minorHAnsi" w:hAnsiTheme="minorHAnsi" w:cstheme="minorHAnsi"/>
          <w:b/>
          <w:bCs/>
          <w:sz w:val="32"/>
          <w:szCs w:val="32"/>
          <w:u w:val="single"/>
        </w:rPr>
      </w:pPr>
    </w:p>
    <w:p w:rsidR="006917A5" w:rsidRDefault="006917A5">
      <w:pPr>
        <w:jc w:val="both"/>
        <w:rPr>
          <w:rFonts w:asciiTheme="minorHAnsi" w:hAnsiTheme="minorHAnsi" w:cstheme="minorHAnsi"/>
          <w:b/>
          <w:bCs/>
          <w:sz w:val="32"/>
          <w:szCs w:val="32"/>
          <w:u w:val="single"/>
        </w:rPr>
      </w:pPr>
    </w:p>
    <w:p w:rsidR="006917A5" w:rsidRDefault="006917A5">
      <w:pPr>
        <w:jc w:val="both"/>
        <w:rPr>
          <w:rFonts w:asciiTheme="minorHAnsi" w:hAnsiTheme="minorHAnsi" w:cstheme="minorHAnsi"/>
          <w:b/>
          <w:bCs/>
          <w:sz w:val="32"/>
          <w:szCs w:val="32"/>
          <w:u w:val="single"/>
        </w:rPr>
      </w:pPr>
    </w:p>
    <w:p w:rsidR="006917A5" w:rsidRDefault="006917A5">
      <w:pPr>
        <w:jc w:val="both"/>
        <w:rPr>
          <w:rFonts w:asciiTheme="minorHAnsi" w:hAnsiTheme="minorHAnsi" w:cstheme="minorHAnsi"/>
          <w:b/>
          <w:bCs/>
          <w:sz w:val="32"/>
          <w:szCs w:val="32"/>
          <w:u w:val="single"/>
        </w:rPr>
      </w:pPr>
    </w:p>
    <w:p w:rsidR="006917A5" w:rsidRDefault="006917A5">
      <w:pPr>
        <w:jc w:val="both"/>
        <w:rPr>
          <w:rFonts w:asciiTheme="minorHAnsi" w:hAnsiTheme="minorHAnsi" w:cstheme="minorHAnsi"/>
          <w:b/>
          <w:bCs/>
          <w:sz w:val="32"/>
          <w:szCs w:val="32"/>
          <w:u w:val="single"/>
        </w:rPr>
      </w:pPr>
    </w:p>
    <w:p w:rsidR="006917A5" w:rsidRDefault="006917A5">
      <w:pPr>
        <w:jc w:val="both"/>
        <w:rPr>
          <w:rFonts w:asciiTheme="minorHAnsi" w:hAnsiTheme="minorHAnsi" w:cstheme="minorHAnsi"/>
          <w:b/>
          <w:bCs/>
          <w:sz w:val="32"/>
          <w:szCs w:val="32"/>
          <w:u w:val="single"/>
        </w:rPr>
      </w:pPr>
    </w:p>
    <w:p w:rsidR="006917A5" w:rsidRDefault="006917A5">
      <w:pPr>
        <w:jc w:val="both"/>
        <w:rPr>
          <w:rFonts w:asciiTheme="minorHAnsi" w:hAnsiTheme="minorHAnsi" w:cstheme="minorHAnsi"/>
          <w:b/>
          <w:bCs/>
          <w:sz w:val="32"/>
          <w:szCs w:val="32"/>
          <w:u w:val="single"/>
        </w:rPr>
      </w:pPr>
    </w:p>
    <w:p w:rsidR="006917A5" w:rsidRDefault="006917A5">
      <w:pPr>
        <w:jc w:val="both"/>
        <w:rPr>
          <w:rFonts w:asciiTheme="minorHAnsi" w:hAnsiTheme="minorHAnsi" w:cstheme="minorHAnsi"/>
          <w:b/>
          <w:bCs/>
          <w:sz w:val="32"/>
          <w:szCs w:val="32"/>
          <w:u w:val="single"/>
        </w:rPr>
      </w:pPr>
    </w:p>
    <w:p w:rsidR="006917A5" w:rsidRDefault="006917A5">
      <w:pPr>
        <w:jc w:val="both"/>
        <w:rPr>
          <w:rFonts w:asciiTheme="minorHAnsi" w:hAnsiTheme="minorHAnsi" w:cstheme="minorHAnsi"/>
          <w:b/>
          <w:bCs/>
          <w:sz w:val="32"/>
          <w:szCs w:val="32"/>
          <w:u w:val="single"/>
        </w:rPr>
      </w:pPr>
    </w:p>
    <w:p w:rsidR="006917A5" w:rsidRDefault="006917A5">
      <w:pPr>
        <w:jc w:val="both"/>
        <w:rPr>
          <w:rFonts w:asciiTheme="minorHAnsi" w:hAnsiTheme="minorHAnsi" w:cstheme="minorHAnsi"/>
          <w:b/>
          <w:bCs/>
          <w:sz w:val="32"/>
          <w:szCs w:val="32"/>
          <w:u w:val="single"/>
        </w:rPr>
      </w:pPr>
    </w:p>
    <w:p w:rsidR="006917A5" w:rsidRDefault="006917A5">
      <w:pPr>
        <w:jc w:val="both"/>
        <w:rPr>
          <w:rFonts w:asciiTheme="minorHAnsi" w:hAnsiTheme="minorHAnsi" w:cstheme="minorHAnsi"/>
          <w:b/>
          <w:bCs/>
          <w:sz w:val="32"/>
          <w:szCs w:val="32"/>
          <w:u w:val="single"/>
        </w:rPr>
      </w:pPr>
    </w:p>
    <w:p w:rsidR="006917A5" w:rsidRDefault="006917A5">
      <w:pPr>
        <w:jc w:val="both"/>
        <w:rPr>
          <w:rFonts w:asciiTheme="minorHAnsi" w:hAnsiTheme="minorHAnsi" w:cstheme="minorHAnsi"/>
          <w:b/>
          <w:bCs/>
          <w:sz w:val="32"/>
          <w:szCs w:val="32"/>
          <w:u w:val="single"/>
        </w:rPr>
      </w:pPr>
    </w:p>
    <w:p w:rsidR="006917A5" w:rsidRDefault="006917A5">
      <w:pPr>
        <w:jc w:val="both"/>
        <w:rPr>
          <w:rFonts w:asciiTheme="minorHAnsi" w:hAnsiTheme="minorHAnsi" w:cstheme="minorHAnsi"/>
          <w:b/>
          <w:bCs/>
          <w:sz w:val="32"/>
          <w:szCs w:val="32"/>
          <w:u w:val="single"/>
        </w:rPr>
      </w:pPr>
    </w:p>
    <w:p w:rsidR="006917A5" w:rsidRDefault="006917A5">
      <w:pPr>
        <w:jc w:val="both"/>
        <w:rPr>
          <w:rFonts w:asciiTheme="minorHAnsi" w:hAnsiTheme="minorHAnsi" w:cstheme="minorHAnsi"/>
          <w:b/>
          <w:bCs/>
          <w:sz w:val="32"/>
          <w:szCs w:val="32"/>
          <w:u w:val="single"/>
        </w:rPr>
      </w:pPr>
    </w:p>
    <w:p w:rsidR="006917A5" w:rsidRDefault="003A2E79">
      <w:pPr>
        <w:jc w:val="both"/>
        <w:rPr>
          <w:rFonts w:asciiTheme="minorHAnsi" w:hAnsiTheme="minorHAnsi" w:cstheme="minorHAnsi"/>
          <w:b/>
          <w:bCs/>
          <w:sz w:val="32"/>
          <w:szCs w:val="32"/>
          <w:u w:val="single"/>
        </w:rPr>
      </w:pPr>
      <w:r>
        <w:rPr>
          <w:rFonts w:asciiTheme="minorHAnsi" w:hAnsiTheme="minorHAnsi" w:cstheme="minorHAnsi"/>
          <w:b/>
          <w:bCs/>
          <w:sz w:val="32"/>
          <w:szCs w:val="32"/>
          <w:u w:val="single"/>
        </w:rPr>
        <w:lastRenderedPageBreak/>
        <w:t>Annexe 5</w:t>
      </w:r>
    </w:p>
    <w:p w:rsidR="006917A5" w:rsidRDefault="003A2E79">
      <w:pPr>
        <w:jc w:val="center"/>
        <w:rPr>
          <w:rFonts w:asciiTheme="minorHAnsi" w:eastAsia="Calibri" w:hAnsiTheme="minorHAnsi" w:cstheme="minorHAnsi"/>
          <w:b/>
          <w:sz w:val="32"/>
          <w:szCs w:val="32"/>
          <w:u w:val="single"/>
        </w:rPr>
      </w:pPr>
      <w:r>
        <w:rPr>
          <w:rFonts w:asciiTheme="minorHAnsi" w:eastAsia="Calibri" w:hAnsiTheme="minorHAnsi" w:cstheme="minorHAnsi"/>
          <w:b/>
          <w:sz w:val="32"/>
          <w:szCs w:val="32"/>
          <w:u w:val="single"/>
        </w:rPr>
        <w:t>Titre : ……………………………………………………..</w:t>
      </w:r>
    </w:p>
    <w:p w:rsidR="006917A5" w:rsidRDefault="003A2E79">
      <w:pPr>
        <w:jc w:val="center"/>
        <w:rPr>
          <w:rFonts w:asciiTheme="minorHAnsi" w:eastAsia="Calibri" w:hAnsiTheme="minorHAnsi" w:cstheme="minorHAnsi"/>
          <w:b/>
          <w:i/>
          <w:iCs/>
          <w:sz w:val="32"/>
          <w:szCs w:val="32"/>
          <w:u w:val="single"/>
        </w:rPr>
      </w:pPr>
      <w:r>
        <w:rPr>
          <w:rFonts w:asciiTheme="minorHAnsi" w:eastAsia="Calibri" w:hAnsiTheme="minorHAnsi" w:cstheme="minorHAnsi"/>
          <w:b/>
          <w:i/>
          <w:iCs/>
          <w:sz w:val="32"/>
          <w:szCs w:val="32"/>
          <w:u w:val="single"/>
        </w:rPr>
        <w:t>(A donner à la fin de l’activité 2)</w:t>
      </w:r>
    </w:p>
    <w:p w:rsidR="006917A5" w:rsidRDefault="006917A5">
      <w:pPr>
        <w:jc w:val="both"/>
        <w:rPr>
          <w:rFonts w:asciiTheme="minorHAnsi" w:eastAsia="Calibri" w:hAnsiTheme="minorHAnsi" w:cstheme="minorHAnsi"/>
          <w:b/>
        </w:rPr>
      </w:pPr>
    </w:p>
    <w:tbl>
      <w:tblPr>
        <w:tblStyle w:val="Grilledutableau"/>
        <w:tblW w:w="10450" w:type="dxa"/>
        <w:tblLayout w:type="fixed"/>
        <w:tblLook w:val="04A0"/>
      </w:tblPr>
      <w:tblGrid>
        <w:gridCol w:w="5229"/>
        <w:gridCol w:w="5221"/>
      </w:tblGrid>
      <w:tr w:rsidR="006917A5">
        <w:tc>
          <w:tcPr>
            <w:tcW w:w="5229" w:type="dxa"/>
            <w:shd w:val="clear" w:color="auto" w:fill="D9E2F3" w:themeFill="accent1" w:themeFillTint="33"/>
          </w:tcPr>
          <w:p w:rsidR="006917A5" w:rsidRDefault="003A2E79">
            <w:pPr>
              <w:widowControl w:val="0"/>
              <w:jc w:val="center"/>
              <w:rPr>
                <w:shd w:val="clear" w:color="auto" w:fill="FFFF00"/>
              </w:rPr>
            </w:pPr>
            <w:r>
              <w:rPr>
                <w:rFonts w:asciiTheme="minorHAnsi" w:eastAsia="Calibri" w:hAnsiTheme="minorHAnsi" w:cstheme="minorHAnsi"/>
                <w:b/>
                <w:sz w:val="28"/>
                <w:szCs w:val="28"/>
                <w:shd w:val="clear" w:color="auto" w:fill="FFFF00"/>
              </w:rPr>
              <w:t>Critères</w:t>
            </w:r>
          </w:p>
          <w:p w:rsidR="006917A5" w:rsidRDefault="006917A5">
            <w:pPr>
              <w:widowControl w:val="0"/>
              <w:jc w:val="center"/>
              <w:rPr>
                <w:rFonts w:asciiTheme="minorHAnsi" w:eastAsia="Calibri" w:hAnsiTheme="minorHAnsi" w:cstheme="minorHAnsi"/>
                <w:b/>
              </w:rPr>
            </w:pPr>
          </w:p>
          <w:p w:rsidR="006917A5" w:rsidRDefault="006917A5">
            <w:pPr>
              <w:widowControl w:val="0"/>
              <w:jc w:val="center"/>
              <w:rPr>
                <w:rFonts w:asciiTheme="minorHAnsi" w:eastAsia="Calibri" w:hAnsiTheme="minorHAnsi" w:cstheme="minorHAnsi"/>
                <w:b/>
              </w:rPr>
            </w:pPr>
          </w:p>
        </w:tc>
        <w:tc>
          <w:tcPr>
            <w:tcW w:w="5221" w:type="dxa"/>
            <w:shd w:val="clear" w:color="auto" w:fill="auto"/>
          </w:tcPr>
          <w:p w:rsidR="006917A5" w:rsidRDefault="003A2E79">
            <w:pPr>
              <w:widowControl w:val="0"/>
              <w:jc w:val="center"/>
              <w:rPr>
                <w:rFonts w:asciiTheme="minorHAnsi" w:eastAsia="Calibri" w:hAnsiTheme="minorHAnsi" w:cstheme="minorHAnsi"/>
                <w:b/>
                <w:sz w:val="28"/>
                <w:szCs w:val="28"/>
              </w:rPr>
            </w:pPr>
            <w:r>
              <w:rPr>
                <w:rFonts w:asciiTheme="minorHAnsi" w:eastAsia="Calibri" w:hAnsiTheme="minorHAnsi" w:cstheme="minorHAnsi"/>
                <w:b/>
                <w:sz w:val="28"/>
                <w:szCs w:val="28"/>
              </w:rPr>
              <w:t>Eléments de réponses en lien avec l’exemple de la santé mentale</w:t>
            </w:r>
          </w:p>
        </w:tc>
      </w:tr>
      <w:tr w:rsidR="006917A5">
        <w:tc>
          <w:tcPr>
            <w:tcW w:w="5229" w:type="dxa"/>
            <w:shd w:val="clear" w:color="auto" w:fill="D9E2F3" w:themeFill="accent1" w:themeFillTint="33"/>
          </w:tcPr>
          <w:p w:rsidR="006917A5" w:rsidRDefault="006917A5">
            <w:pPr>
              <w:widowControl w:val="0"/>
              <w:numPr>
                <w:ilvl w:val="0"/>
                <w:numId w:val="3"/>
              </w:numPr>
              <w:contextualSpacing/>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sz w:val="36"/>
                <w:szCs w:val="36"/>
              </w:rPr>
            </w:pPr>
          </w:p>
        </w:tc>
        <w:tc>
          <w:tcPr>
            <w:tcW w:w="5221" w:type="dxa"/>
            <w:shd w:val="clear" w:color="auto" w:fill="auto"/>
          </w:tcPr>
          <w:p w:rsidR="006917A5" w:rsidRDefault="006917A5">
            <w:pPr>
              <w:widowControl w:val="0"/>
              <w:jc w:val="both"/>
              <w:rPr>
                <w:rFonts w:ascii="Calibri" w:eastAsia="Calibri" w:hAnsi="Calibri" w:cstheme="minorHAnsi"/>
                <w:b/>
              </w:rPr>
            </w:pPr>
          </w:p>
          <w:p w:rsidR="006917A5" w:rsidRDefault="006917A5">
            <w:pPr>
              <w:widowControl w:val="0"/>
              <w:jc w:val="both"/>
              <w:rPr>
                <w:rFonts w:ascii="Calibri" w:eastAsia="Calibri" w:hAnsi="Calibri" w:cstheme="minorHAnsi"/>
                <w:b/>
              </w:rPr>
            </w:pPr>
          </w:p>
          <w:p w:rsidR="006917A5" w:rsidRDefault="006917A5">
            <w:pPr>
              <w:widowControl w:val="0"/>
              <w:jc w:val="both"/>
              <w:rPr>
                <w:rFonts w:ascii="Calibri" w:eastAsia="Calibri" w:hAnsi="Calibri" w:cstheme="minorHAnsi"/>
                <w:b/>
              </w:rPr>
            </w:pPr>
          </w:p>
          <w:p w:rsidR="006917A5" w:rsidRDefault="006917A5">
            <w:pPr>
              <w:widowControl w:val="0"/>
              <w:jc w:val="both"/>
              <w:rPr>
                <w:rFonts w:ascii="Calibri" w:eastAsia="Calibri" w:hAnsi="Calibri" w:cstheme="minorHAnsi"/>
                <w:b/>
              </w:rPr>
            </w:pPr>
          </w:p>
          <w:p w:rsidR="006917A5" w:rsidRDefault="006917A5">
            <w:pPr>
              <w:widowControl w:val="0"/>
              <w:jc w:val="both"/>
              <w:rPr>
                <w:rFonts w:ascii="Calibri" w:eastAsia="Calibri" w:hAnsi="Calibri" w:cstheme="minorHAnsi"/>
                <w:b/>
              </w:rPr>
            </w:pPr>
          </w:p>
          <w:p w:rsidR="006917A5" w:rsidRDefault="006917A5">
            <w:pPr>
              <w:widowControl w:val="0"/>
              <w:jc w:val="both"/>
              <w:rPr>
                <w:rFonts w:asciiTheme="minorHAnsi" w:eastAsia="Calibri" w:hAnsiTheme="minorHAnsi" w:cstheme="minorHAnsi"/>
                <w:b/>
              </w:rPr>
            </w:pPr>
          </w:p>
        </w:tc>
      </w:tr>
      <w:tr w:rsidR="006917A5">
        <w:tc>
          <w:tcPr>
            <w:tcW w:w="5229" w:type="dxa"/>
            <w:shd w:val="clear" w:color="auto" w:fill="D9E2F3" w:themeFill="accent1" w:themeFillTint="33"/>
          </w:tcPr>
          <w:p w:rsidR="006917A5" w:rsidRDefault="003A2E79">
            <w:pPr>
              <w:widowControl w:val="0"/>
              <w:jc w:val="both"/>
              <w:rPr>
                <w:rFonts w:asciiTheme="minorHAnsi" w:eastAsia="Calibri" w:hAnsiTheme="minorHAnsi" w:cstheme="minorHAnsi"/>
                <w:b/>
              </w:rPr>
            </w:pPr>
            <w:r>
              <w:rPr>
                <w:rFonts w:asciiTheme="minorHAnsi" w:eastAsia="Calibri" w:hAnsiTheme="minorHAnsi" w:cstheme="minorHAnsi"/>
                <w:b/>
                <w:sz w:val="36"/>
                <w:szCs w:val="36"/>
                <w:highlight w:val="yellow"/>
              </w:rPr>
              <w:t>+</w:t>
            </w:r>
          </w:p>
          <w:p w:rsidR="006917A5" w:rsidRDefault="006917A5">
            <w:pPr>
              <w:widowControl w:val="0"/>
              <w:numPr>
                <w:ilvl w:val="0"/>
                <w:numId w:val="3"/>
              </w:numPr>
              <w:contextualSpacing/>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sz w:val="36"/>
                <w:szCs w:val="36"/>
              </w:rPr>
            </w:pPr>
          </w:p>
        </w:tc>
        <w:tc>
          <w:tcPr>
            <w:tcW w:w="5221" w:type="dxa"/>
            <w:shd w:val="clear" w:color="auto" w:fill="auto"/>
          </w:tcPr>
          <w:p w:rsidR="006917A5" w:rsidRDefault="006917A5">
            <w:pPr>
              <w:widowControl w:val="0"/>
              <w:jc w:val="both"/>
              <w:rPr>
                <w:rFonts w:asciiTheme="minorHAnsi" w:eastAsia="Calibri" w:hAnsiTheme="minorHAnsi" w:cstheme="minorHAnsi"/>
                <w:b/>
              </w:rPr>
            </w:pPr>
          </w:p>
        </w:tc>
      </w:tr>
      <w:tr w:rsidR="006917A5">
        <w:tc>
          <w:tcPr>
            <w:tcW w:w="5229" w:type="dxa"/>
            <w:shd w:val="clear" w:color="auto" w:fill="D9E2F3" w:themeFill="accent1" w:themeFillTint="33"/>
          </w:tcPr>
          <w:p w:rsidR="006917A5" w:rsidRDefault="003A2E79">
            <w:pPr>
              <w:widowControl w:val="0"/>
              <w:jc w:val="both"/>
              <w:rPr>
                <w:rFonts w:asciiTheme="minorHAnsi" w:eastAsia="Calibri" w:hAnsiTheme="minorHAnsi" w:cstheme="minorHAnsi"/>
                <w:b/>
              </w:rPr>
            </w:pPr>
            <w:r>
              <w:rPr>
                <w:rFonts w:asciiTheme="minorHAnsi" w:eastAsia="Calibri" w:hAnsiTheme="minorHAnsi" w:cstheme="minorHAnsi"/>
                <w:b/>
                <w:sz w:val="36"/>
                <w:szCs w:val="36"/>
                <w:highlight w:val="yellow"/>
              </w:rPr>
              <w:t>+</w:t>
            </w:r>
          </w:p>
          <w:p w:rsidR="006917A5" w:rsidRDefault="006917A5">
            <w:pPr>
              <w:widowControl w:val="0"/>
              <w:numPr>
                <w:ilvl w:val="0"/>
                <w:numId w:val="3"/>
              </w:numPr>
              <w:contextualSpacing/>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sz w:val="32"/>
                <w:szCs w:val="32"/>
              </w:rPr>
            </w:pPr>
          </w:p>
          <w:p w:rsidR="006917A5" w:rsidRDefault="006917A5">
            <w:pPr>
              <w:widowControl w:val="0"/>
              <w:jc w:val="both"/>
              <w:rPr>
                <w:rFonts w:asciiTheme="minorHAnsi" w:eastAsia="Calibri" w:hAnsiTheme="minorHAnsi" w:cstheme="minorHAnsi"/>
                <w:b/>
                <w:sz w:val="36"/>
                <w:szCs w:val="36"/>
              </w:rPr>
            </w:pPr>
          </w:p>
        </w:tc>
        <w:tc>
          <w:tcPr>
            <w:tcW w:w="5221" w:type="dxa"/>
            <w:shd w:val="clear" w:color="auto" w:fill="auto"/>
          </w:tcPr>
          <w:p w:rsidR="006917A5" w:rsidRDefault="006917A5">
            <w:pPr>
              <w:widowControl w:val="0"/>
              <w:jc w:val="both"/>
              <w:rPr>
                <w:rFonts w:ascii="Calibri" w:eastAsia="Calibri" w:hAnsi="Calibri" w:cstheme="minorHAnsi"/>
                <w:b/>
              </w:rPr>
            </w:pPr>
          </w:p>
          <w:p w:rsidR="006917A5" w:rsidRDefault="006917A5">
            <w:pPr>
              <w:widowControl w:val="0"/>
              <w:jc w:val="both"/>
              <w:rPr>
                <w:rFonts w:ascii="Calibri" w:eastAsia="Calibri" w:hAnsi="Calibri" w:cstheme="minorHAnsi"/>
                <w:b/>
              </w:rPr>
            </w:pPr>
          </w:p>
          <w:p w:rsidR="006917A5" w:rsidRDefault="006917A5">
            <w:pPr>
              <w:widowControl w:val="0"/>
              <w:jc w:val="both"/>
              <w:rPr>
                <w:rFonts w:ascii="Calibri" w:eastAsia="Calibri" w:hAnsi="Calibri" w:cstheme="minorHAnsi"/>
                <w:b/>
              </w:rPr>
            </w:pPr>
          </w:p>
          <w:p w:rsidR="006917A5" w:rsidRDefault="006917A5">
            <w:pPr>
              <w:widowControl w:val="0"/>
              <w:jc w:val="both"/>
              <w:rPr>
                <w:rFonts w:ascii="Calibri" w:eastAsia="Calibri" w:hAnsi="Calibri" w:cstheme="minorHAnsi"/>
                <w:b/>
              </w:rPr>
            </w:pPr>
          </w:p>
          <w:p w:rsidR="006917A5" w:rsidRDefault="006917A5">
            <w:pPr>
              <w:widowControl w:val="0"/>
              <w:jc w:val="both"/>
              <w:rPr>
                <w:rFonts w:ascii="Calibri" w:eastAsia="Calibri" w:hAnsi="Calibri" w:cstheme="minorHAnsi"/>
                <w:b/>
              </w:rPr>
            </w:pPr>
          </w:p>
          <w:p w:rsidR="006917A5" w:rsidRDefault="006917A5">
            <w:pPr>
              <w:widowControl w:val="0"/>
              <w:jc w:val="both"/>
              <w:rPr>
                <w:rFonts w:ascii="Calibri" w:eastAsia="Calibri" w:hAnsi="Calibri" w:cstheme="minorHAnsi"/>
                <w:b/>
              </w:rPr>
            </w:pPr>
          </w:p>
        </w:tc>
      </w:tr>
      <w:tr w:rsidR="006917A5">
        <w:tc>
          <w:tcPr>
            <w:tcW w:w="5229" w:type="dxa"/>
            <w:shd w:val="clear" w:color="auto" w:fill="D9E2F3" w:themeFill="accent1" w:themeFillTint="33"/>
          </w:tcPr>
          <w:p w:rsidR="006917A5" w:rsidRDefault="003A2E79">
            <w:pPr>
              <w:widowControl w:val="0"/>
              <w:jc w:val="both"/>
              <w:rPr>
                <w:rFonts w:asciiTheme="minorHAnsi" w:eastAsia="Calibri" w:hAnsiTheme="minorHAnsi" w:cstheme="minorHAnsi"/>
                <w:b/>
              </w:rPr>
            </w:pPr>
            <w:r>
              <w:rPr>
                <w:rFonts w:asciiTheme="minorHAnsi" w:eastAsia="Calibri" w:hAnsiTheme="minorHAnsi" w:cstheme="minorHAnsi"/>
                <w:b/>
                <w:sz w:val="36"/>
                <w:szCs w:val="36"/>
                <w:highlight w:val="yellow"/>
              </w:rPr>
              <w:t>+</w:t>
            </w:r>
          </w:p>
          <w:p w:rsidR="006917A5" w:rsidRDefault="006917A5">
            <w:pPr>
              <w:widowControl w:val="0"/>
              <w:numPr>
                <w:ilvl w:val="0"/>
                <w:numId w:val="3"/>
              </w:numPr>
              <w:contextualSpacing/>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rPr>
            </w:pPr>
          </w:p>
        </w:tc>
        <w:tc>
          <w:tcPr>
            <w:tcW w:w="5221" w:type="dxa"/>
            <w:shd w:val="clear" w:color="auto" w:fill="auto"/>
          </w:tcPr>
          <w:p w:rsidR="006917A5" w:rsidRDefault="006917A5">
            <w:pPr>
              <w:widowControl w:val="0"/>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rPr>
            </w:pPr>
          </w:p>
        </w:tc>
      </w:tr>
      <w:tr w:rsidR="006917A5">
        <w:tc>
          <w:tcPr>
            <w:tcW w:w="10450" w:type="dxa"/>
            <w:gridSpan w:val="2"/>
            <w:shd w:val="clear" w:color="auto" w:fill="D9E2F3" w:themeFill="accent1" w:themeFillTint="33"/>
          </w:tcPr>
          <w:p w:rsidR="006917A5" w:rsidRDefault="006917A5">
            <w:pPr>
              <w:widowControl w:val="0"/>
              <w:jc w:val="both"/>
              <w:rPr>
                <w:rFonts w:asciiTheme="minorHAnsi" w:eastAsia="Calibri" w:hAnsiTheme="minorHAnsi" w:cstheme="minorHAnsi"/>
                <w:b/>
              </w:rPr>
            </w:pPr>
          </w:p>
          <w:p w:rsidR="006917A5" w:rsidRDefault="003A2E79">
            <w:pPr>
              <w:widowControl w:val="0"/>
              <w:jc w:val="center"/>
              <w:rPr>
                <w:rFonts w:asciiTheme="minorHAnsi" w:eastAsia="Calibri" w:hAnsiTheme="minorHAnsi" w:cstheme="minorHAnsi"/>
                <w:b/>
                <w:sz w:val="36"/>
                <w:szCs w:val="36"/>
              </w:rPr>
            </w:pPr>
            <w:r>
              <w:rPr>
                <w:rFonts w:asciiTheme="minorHAnsi" w:eastAsia="Calibri" w:hAnsiTheme="minorHAnsi" w:cstheme="minorHAnsi"/>
                <w:b/>
                <w:sz w:val="36"/>
                <w:szCs w:val="36"/>
                <w:highlight w:val="yellow"/>
              </w:rPr>
              <w:t>=</w:t>
            </w:r>
            <w:r>
              <w:rPr>
                <w:rFonts w:asciiTheme="minorHAnsi" w:eastAsia="Calibri" w:hAnsiTheme="minorHAnsi" w:cstheme="minorHAnsi"/>
                <w:b/>
                <w:sz w:val="36"/>
                <w:szCs w:val="36"/>
              </w:rPr>
              <w:t xml:space="preserve"> Problème de santé publique</w:t>
            </w:r>
          </w:p>
        </w:tc>
      </w:tr>
      <w:tr w:rsidR="006917A5">
        <w:tc>
          <w:tcPr>
            <w:tcW w:w="5229" w:type="dxa"/>
            <w:shd w:val="clear" w:color="auto" w:fill="D9E2F3" w:themeFill="accent1" w:themeFillTint="33"/>
          </w:tcPr>
          <w:p w:rsidR="006917A5" w:rsidRDefault="003A2E79">
            <w:pPr>
              <w:widowControl w:val="0"/>
              <w:jc w:val="both"/>
              <w:rPr>
                <w:rFonts w:asciiTheme="minorHAnsi" w:eastAsia="Calibri" w:hAnsiTheme="minorHAnsi" w:cstheme="minorHAnsi"/>
                <w:b/>
                <w:i/>
                <w:iCs/>
              </w:rPr>
            </w:pPr>
            <w:r>
              <w:rPr>
                <w:rFonts w:asciiTheme="minorHAnsi" w:eastAsia="Calibri" w:hAnsiTheme="minorHAnsi" w:cstheme="minorHAnsi"/>
                <w:b/>
                <w:i/>
                <w:iCs/>
                <w:sz w:val="36"/>
                <w:szCs w:val="36"/>
                <w:highlight w:val="yellow"/>
              </w:rPr>
              <w:t>+</w:t>
            </w:r>
          </w:p>
          <w:p w:rsidR="006917A5" w:rsidRDefault="006917A5">
            <w:pPr>
              <w:widowControl w:val="0"/>
              <w:numPr>
                <w:ilvl w:val="0"/>
                <w:numId w:val="3"/>
              </w:numPr>
              <w:contextualSpacing/>
              <w:jc w:val="both"/>
              <w:rPr>
                <w:rFonts w:asciiTheme="minorHAnsi" w:eastAsia="Calibri" w:hAnsiTheme="minorHAnsi" w:cstheme="minorHAnsi"/>
                <w:b/>
                <w:i/>
                <w:iCs/>
              </w:rPr>
            </w:pPr>
          </w:p>
          <w:p w:rsidR="006917A5" w:rsidRDefault="006917A5">
            <w:pPr>
              <w:widowControl w:val="0"/>
              <w:jc w:val="both"/>
              <w:rPr>
                <w:rFonts w:asciiTheme="minorHAnsi" w:eastAsia="Calibri" w:hAnsiTheme="minorHAnsi" w:cstheme="minorHAnsi"/>
                <w:b/>
                <w:i/>
                <w:iCs/>
              </w:rPr>
            </w:pPr>
          </w:p>
          <w:p w:rsidR="006917A5" w:rsidRDefault="006917A5">
            <w:pPr>
              <w:widowControl w:val="0"/>
              <w:jc w:val="both"/>
              <w:rPr>
                <w:rFonts w:asciiTheme="minorHAnsi" w:eastAsia="Calibri" w:hAnsiTheme="minorHAnsi" w:cstheme="minorHAnsi"/>
                <w:b/>
                <w:i/>
                <w:iCs/>
              </w:rPr>
            </w:pPr>
          </w:p>
          <w:p w:rsidR="006917A5" w:rsidRDefault="006917A5">
            <w:pPr>
              <w:widowControl w:val="0"/>
              <w:jc w:val="both"/>
              <w:rPr>
                <w:rFonts w:asciiTheme="minorHAnsi" w:eastAsia="Calibri" w:hAnsiTheme="minorHAnsi" w:cstheme="minorHAnsi"/>
                <w:b/>
                <w:i/>
                <w:iCs/>
              </w:rPr>
            </w:pPr>
          </w:p>
        </w:tc>
        <w:tc>
          <w:tcPr>
            <w:tcW w:w="5221" w:type="dxa"/>
            <w:shd w:val="clear" w:color="auto" w:fill="FFFFFF" w:themeFill="background1"/>
          </w:tcPr>
          <w:p w:rsidR="006917A5" w:rsidRDefault="006917A5">
            <w:pPr>
              <w:widowControl w:val="0"/>
              <w:jc w:val="both"/>
              <w:rPr>
                <w:rFonts w:asciiTheme="minorHAnsi" w:eastAsia="Calibri" w:hAnsiTheme="minorHAnsi" w:cstheme="minorHAnsi"/>
                <w:b/>
              </w:rPr>
            </w:pPr>
          </w:p>
        </w:tc>
      </w:tr>
      <w:tr w:rsidR="006917A5">
        <w:tc>
          <w:tcPr>
            <w:tcW w:w="5229" w:type="dxa"/>
            <w:shd w:val="clear" w:color="auto" w:fill="D9E2F3" w:themeFill="accent1" w:themeFillTint="33"/>
          </w:tcPr>
          <w:p w:rsidR="006917A5" w:rsidRDefault="003A2E79">
            <w:pPr>
              <w:widowControl w:val="0"/>
              <w:jc w:val="both"/>
              <w:rPr>
                <w:rFonts w:asciiTheme="minorHAnsi" w:eastAsia="Calibri" w:hAnsiTheme="minorHAnsi" w:cstheme="minorHAnsi"/>
                <w:b/>
                <w:i/>
                <w:iCs/>
              </w:rPr>
            </w:pPr>
            <w:r>
              <w:rPr>
                <w:rFonts w:asciiTheme="minorHAnsi" w:eastAsia="Calibri" w:hAnsiTheme="minorHAnsi" w:cstheme="minorHAnsi"/>
                <w:b/>
                <w:i/>
                <w:iCs/>
                <w:sz w:val="36"/>
                <w:szCs w:val="36"/>
                <w:highlight w:val="yellow"/>
              </w:rPr>
              <w:t>+</w:t>
            </w:r>
          </w:p>
          <w:p w:rsidR="006917A5" w:rsidRDefault="006917A5">
            <w:pPr>
              <w:widowControl w:val="0"/>
              <w:numPr>
                <w:ilvl w:val="0"/>
                <w:numId w:val="3"/>
              </w:numPr>
              <w:contextualSpacing/>
              <w:jc w:val="both"/>
              <w:rPr>
                <w:rFonts w:asciiTheme="minorHAnsi" w:eastAsia="Calibri" w:hAnsiTheme="minorHAnsi" w:cstheme="minorHAnsi"/>
                <w:b/>
                <w:i/>
                <w:iCs/>
              </w:rPr>
            </w:pPr>
          </w:p>
        </w:tc>
        <w:tc>
          <w:tcPr>
            <w:tcW w:w="5221" w:type="dxa"/>
            <w:shd w:val="clear" w:color="auto" w:fill="FFFFFF" w:themeFill="background1"/>
          </w:tcPr>
          <w:p w:rsidR="006917A5" w:rsidRDefault="006917A5">
            <w:pPr>
              <w:widowControl w:val="0"/>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rPr>
            </w:pPr>
          </w:p>
          <w:p w:rsidR="006917A5" w:rsidRDefault="006917A5">
            <w:pPr>
              <w:widowControl w:val="0"/>
              <w:jc w:val="both"/>
              <w:rPr>
                <w:rFonts w:asciiTheme="minorHAnsi" w:eastAsia="Calibri" w:hAnsiTheme="minorHAnsi" w:cstheme="minorHAnsi"/>
                <w:b/>
              </w:rPr>
            </w:pPr>
          </w:p>
        </w:tc>
      </w:tr>
      <w:tr w:rsidR="006917A5">
        <w:tc>
          <w:tcPr>
            <w:tcW w:w="10450" w:type="dxa"/>
            <w:gridSpan w:val="2"/>
            <w:shd w:val="clear" w:color="auto" w:fill="D9E2F3" w:themeFill="accent1" w:themeFillTint="33"/>
          </w:tcPr>
          <w:p w:rsidR="006917A5" w:rsidRDefault="006917A5">
            <w:pPr>
              <w:widowControl w:val="0"/>
              <w:jc w:val="both"/>
              <w:rPr>
                <w:rFonts w:asciiTheme="minorHAnsi" w:eastAsia="Calibri" w:hAnsiTheme="minorHAnsi" w:cstheme="minorHAnsi"/>
                <w:b/>
                <w:i/>
                <w:iCs/>
              </w:rPr>
            </w:pPr>
          </w:p>
          <w:p w:rsidR="006917A5" w:rsidRDefault="003A2E79">
            <w:pPr>
              <w:widowControl w:val="0"/>
              <w:jc w:val="center"/>
              <w:rPr>
                <w:rFonts w:asciiTheme="minorHAnsi" w:eastAsia="Calibri" w:hAnsiTheme="minorHAnsi" w:cstheme="minorHAnsi"/>
                <w:b/>
                <w:i/>
                <w:iCs/>
                <w:sz w:val="36"/>
                <w:szCs w:val="36"/>
              </w:rPr>
            </w:pPr>
            <w:r>
              <w:rPr>
                <w:rFonts w:asciiTheme="minorHAnsi" w:eastAsia="Calibri" w:hAnsiTheme="minorHAnsi" w:cstheme="minorHAnsi"/>
                <w:b/>
                <w:i/>
                <w:iCs/>
                <w:sz w:val="36"/>
                <w:szCs w:val="36"/>
                <w:highlight w:val="yellow"/>
              </w:rPr>
              <w:t>=</w:t>
            </w:r>
            <w:r>
              <w:rPr>
                <w:rFonts w:asciiTheme="minorHAnsi" w:eastAsia="Calibri" w:hAnsiTheme="minorHAnsi" w:cstheme="minorHAnsi"/>
                <w:b/>
                <w:i/>
                <w:iCs/>
                <w:sz w:val="36"/>
                <w:szCs w:val="36"/>
              </w:rPr>
              <w:t xml:space="preserve"> Priorité de santé publique</w:t>
            </w:r>
          </w:p>
        </w:tc>
      </w:tr>
    </w:tbl>
    <w:p w:rsidR="006917A5" w:rsidRDefault="006917A5">
      <w:pPr>
        <w:jc w:val="both"/>
        <w:rPr>
          <w:rFonts w:asciiTheme="minorHAnsi" w:eastAsiaTheme="majorEastAsia" w:hAnsiTheme="minorHAnsi" w:cstheme="minorHAnsi"/>
          <w:b/>
          <w:bCs/>
          <w:sz w:val="32"/>
          <w:szCs w:val="32"/>
          <w:u w:val="single"/>
          <w:lang w:eastAsia="en-US"/>
        </w:rPr>
      </w:pPr>
    </w:p>
    <w:p w:rsidR="006917A5" w:rsidRDefault="003A2E79">
      <w:pPr>
        <w:jc w:val="both"/>
        <w:rPr>
          <w:rFonts w:asciiTheme="minorHAnsi" w:hAnsiTheme="minorHAnsi" w:cstheme="minorHAnsi"/>
          <w:b/>
          <w:bCs/>
          <w:sz w:val="32"/>
          <w:szCs w:val="32"/>
          <w:u w:val="single"/>
        </w:rPr>
      </w:pPr>
      <w:r>
        <w:rPr>
          <w:rFonts w:asciiTheme="minorHAnsi" w:hAnsiTheme="minorHAnsi" w:cstheme="minorHAnsi"/>
          <w:b/>
          <w:bCs/>
          <w:sz w:val="32"/>
          <w:szCs w:val="32"/>
          <w:u w:val="single"/>
        </w:rPr>
        <w:t xml:space="preserve">Annexe </w:t>
      </w:r>
      <w:r w:rsidR="008859B4">
        <w:rPr>
          <w:rFonts w:asciiTheme="minorHAnsi" w:hAnsiTheme="minorHAnsi" w:cstheme="minorHAnsi"/>
          <w:b/>
          <w:bCs/>
          <w:sz w:val="32"/>
          <w:szCs w:val="32"/>
          <w:u w:val="single"/>
        </w:rPr>
        <w:t>6</w:t>
      </w:r>
      <w:r>
        <w:rPr>
          <w:rFonts w:asciiTheme="minorHAnsi" w:hAnsiTheme="minorHAnsi" w:cstheme="minorHAnsi"/>
          <w:b/>
          <w:bCs/>
          <w:sz w:val="32"/>
          <w:szCs w:val="32"/>
          <w:u w:val="single"/>
        </w:rPr>
        <w:t> : Stratégie Nationale de santé</w:t>
      </w:r>
    </w:p>
    <w:p w:rsidR="006917A5" w:rsidRDefault="006917A5">
      <w:pPr>
        <w:pStyle w:val="Contenudecadreuser"/>
        <w:widowControl w:val="0"/>
        <w:jc w:val="both"/>
        <w:rPr>
          <w:rFonts w:asciiTheme="minorHAnsi" w:hAnsiTheme="minorHAnsi"/>
          <w:b/>
          <w:color w:val="000000"/>
          <w:u w:val="single"/>
        </w:rPr>
      </w:pPr>
    </w:p>
    <w:p w:rsidR="006917A5" w:rsidRDefault="003A2E79">
      <w:pPr>
        <w:pStyle w:val="Contenudecadreuser"/>
        <w:widowControl w:val="0"/>
        <w:jc w:val="both"/>
        <w:rPr>
          <w:rFonts w:asciiTheme="minorHAnsi" w:hAnsiTheme="minorHAnsi"/>
          <w:b/>
          <w:color w:val="000000"/>
          <w:u w:val="single"/>
        </w:rPr>
      </w:pPr>
      <w:r>
        <w:rPr>
          <w:rFonts w:asciiTheme="minorHAnsi" w:hAnsiTheme="minorHAnsi"/>
          <w:b/>
          <w:color w:val="000000"/>
          <w:u w:val="single"/>
        </w:rPr>
        <w:t>Document 1 : Qu’est-ce que la stratégie nationale de santé ?</w:t>
      </w:r>
    </w:p>
    <w:p w:rsidR="006917A5" w:rsidRDefault="003A2E79">
      <w:pPr>
        <w:suppressAutoHyphens w:val="0"/>
        <w:spacing w:beforeAutospacing="1" w:afterAutospacing="1"/>
        <w:jc w:val="both"/>
        <w:rPr>
          <w:rFonts w:asciiTheme="minorHAnsi" w:hAnsiTheme="minorHAnsi"/>
          <w:bCs/>
          <w:color w:val="000000"/>
        </w:rPr>
      </w:pPr>
      <w:r>
        <w:rPr>
          <w:rFonts w:asciiTheme="minorHAnsi" w:hAnsiTheme="minorHAnsi"/>
          <w:bCs/>
          <w:color w:val="000000"/>
        </w:rPr>
        <w:lastRenderedPageBreak/>
        <w:t>La stratégie nationale de santé, prévue par la loi et définie par le Gouvernement, constitue le cadre de la politique nationale de santé en France. Elle doit ainsi déterminer les domaines d’action considérés comme prioritaires et fixer des objectifs d’amél</w:t>
      </w:r>
      <w:r>
        <w:rPr>
          <w:rFonts w:asciiTheme="minorHAnsi" w:hAnsiTheme="minorHAnsi"/>
          <w:bCs/>
          <w:color w:val="000000"/>
        </w:rPr>
        <w:t>ioration de la santé et de la protection sociale contre la maladie, sur la base d’une analyse de l’état de santé de la population, de ses déterminants et des stratégies d’action e</w:t>
      </w:r>
      <w:r>
        <w:rPr>
          <w:rFonts w:asciiTheme="minorHAnsi" w:hAnsiTheme="minorHAnsi"/>
          <w:bCs/>
          <w:color w:val="000000"/>
        </w:rPr>
        <w:t>n</w:t>
      </w:r>
      <w:r>
        <w:rPr>
          <w:rFonts w:asciiTheme="minorHAnsi" w:hAnsiTheme="minorHAnsi"/>
          <w:bCs/>
          <w:color w:val="000000"/>
        </w:rPr>
        <w:t>visageables qu’a menée le Haut Conseil de la santé publique. Ce cadre d’orie</w:t>
      </w:r>
      <w:r>
        <w:rPr>
          <w:rFonts w:asciiTheme="minorHAnsi" w:hAnsiTheme="minorHAnsi"/>
          <w:bCs/>
          <w:color w:val="000000"/>
        </w:rPr>
        <w:t>ntation est mis en œuvre au travers des différents plans nationaux et feuilles de route ayant un lien avec la santé, ainsi qu’au travers des projets régionaux de santé que doivent adopter les agences régionales de santé (ARS) en cohérence avec la stratégie</w:t>
      </w:r>
      <w:r>
        <w:rPr>
          <w:rFonts w:asciiTheme="minorHAnsi" w:hAnsiTheme="minorHAnsi"/>
          <w:bCs/>
          <w:color w:val="000000"/>
        </w:rPr>
        <w:t xml:space="preserve"> nationale.[…]</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La stratégie nationale de santé (SNS) précédente, lancée début 2018 pour une durée de cinq ans, s’est achevée fin 2022, dans une période marquée par la lutte contre la pandémie de Covid-19.</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La nouvelle stratégie nationale de santé, pour 2023</w:t>
      </w:r>
      <w:r>
        <w:rPr>
          <w:rFonts w:asciiTheme="minorHAnsi" w:hAnsiTheme="minorHAnsi" w:cstheme="minorHAnsi"/>
        </w:rPr>
        <w:t>-2033, tient compte des enseignements tirés de la crise sanitaire et de l’impact qu’elle a eu sur l’état de santé de la population. Parmi ces enseignements, la néce</w:t>
      </w:r>
      <w:r>
        <w:rPr>
          <w:rFonts w:asciiTheme="minorHAnsi" w:hAnsiTheme="minorHAnsi" w:cstheme="minorHAnsi"/>
        </w:rPr>
        <w:t>s</w:t>
      </w:r>
      <w:r>
        <w:rPr>
          <w:rFonts w:asciiTheme="minorHAnsi" w:hAnsiTheme="minorHAnsi" w:cstheme="minorHAnsi"/>
        </w:rPr>
        <w:t xml:space="preserve">sité de faire une place particulièrement importante à la santé publique et à la prévention </w:t>
      </w:r>
      <w:r>
        <w:rPr>
          <w:rFonts w:asciiTheme="minorHAnsi" w:hAnsiTheme="minorHAnsi" w:cstheme="minorHAnsi"/>
        </w:rPr>
        <w:t>dans les politiques de santé.</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 xml:space="preserve">Un premier projet de texte a été rédigé sur la base de </w:t>
      </w:r>
      <w:hyperlink r:id="rId15" w:tgtFrame="_blank">
        <w:r>
          <w:rPr>
            <w:rFonts w:asciiTheme="minorHAnsi" w:hAnsiTheme="minorHAnsi" w:cstheme="minorHAnsi"/>
          </w:rPr>
          <w:t>l’analyse menée par le Haut Conseil de la santé p</w:t>
        </w:r>
        <w:r>
          <w:rPr>
            <w:rFonts w:asciiTheme="minorHAnsi" w:hAnsiTheme="minorHAnsi" w:cstheme="minorHAnsi"/>
          </w:rPr>
          <w:t>u</w:t>
        </w:r>
        <w:r>
          <w:rPr>
            <w:rFonts w:asciiTheme="minorHAnsi" w:hAnsiTheme="minorHAnsi" w:cstheme="minorHAnsi"/>
          </w:rPr>
          <w:t>blique (HCSP) sur l’état de s</w:t>
        </w:r>
        <w:r>
          <w:rPr>
            <w:rFonts w:asciiTheme="minorHAnsi" w:hAnsiTheme="minorHAnsi" w:cstheme="minorHAnsi"/>
          </w:rPr>
          <w:t>anté de la population et ses déterminants</w:t>
        </w:r>
      </w:hyperlink>
      <w:r>
        <w:rPr>
          <w:rFonts w:asciiTheme="minorHAnsi" w:hAnsiTheme="minorHAnsi" w:cstheme="minorHAnsi"/>
        </w:rPr>
        <w:t>. Il rappelle les valeurs et les principes qui doivent guider les politiques de santé, et propose les orientations de la nouvelle SNS autour de trois grands objectifs :</w:t>
      </w:r>
    </w:p>
    <w:p w:rsidR="006917A5" w:rsidRDefault="003A2E79">
      <w:pPr>
        <w:numPr>
          <w:ilvl w:val="0"/>
          <w:numId w:val="10"/>
        </w:numPr>
        <w:suppressAutoHyphens w:val="0"/>
        <w:spacing w:beforeAutospacing="1"/>
        <w:jc w:val="both"/>
        <w:rPr>
          <w:rFonts w:asciiTheme="minorHAnsi" w:hAnsiTheme="minorHAnsi" w:cstheme="minorHAnsi"/>
        </w:rPr>
      </w:pPr>
      <w:r>
        <w:rPr>
          <w:rFonts w:asciiTheme="minorHAnsi" w:hAnsiTheme="minorHAnsi" w:cstheme="minorHAnsi"/>
        </w:rPr>
        <w:t>permettre à tous nos concitoyens de vivre plus</w:t>
      </w:r>
      <w:r>
        <w:rPr>
          <w:rFonts w:asciiTheme="minorHAnsi" w:hAnsiTheme="minorHAnsi" w:cstheme="minorHAnsi"/>
        </w:rPr>
        <w:t xml:space="preserve"> longtemps en bonne santé, par la prévention, la promotion de la santé et l’accompagnement à tous les âges de la vie ;</w:t>
      </w:r>
    </w:p>
    <w:p w:rsidR="006917A5" w:rsidRDefault="003A2E79">
      <w:pPr>
        <w:numPr>
          <w:ilvl w:val="0"/>
          <w:numId w:val="10"/>
        </w:numPr>
        <w:suppressAutoHyphens w:val="0"/>
        <w:jc w:val="both"/>
        <w:rPr>
          <w:rFonts w:asciiTheme="minorHAnsi" w:hAnsiTheme="minorHAnsi" w:cstheme="minorHAnsi"/>
        </w:rPr>
      </w:pPr>
      <w:r>
        <w:rPr>
          <w:rFonts w:asciiTheme="minorHAnsi" w:hAnsiTheme="minorHAnsi" w:cstheme="minorHAnsi"/>
        </w:rPr>
        <w:t>répondre aux besoins de santé de chacun, sur tout le territoire, avec une offre de santé adaptée ;</w:t>
      </w:r>
    </w:p>
    <w:p w:rsidR="006917A5" w:rsidRDefault="003A2E79">
      <w:pPr>
        <w:numPr>
          <w:ilvl w:val="0"/>
          <w:numId w:val="10"/>
        </w:numPr>
        <w:suppressAutoHyphens w:val="0"/>
        <w:spacing w:afterAutospacing="1"/>
        <w:jc w:val="both"/>
        <w:rPr>
          <w:rFonts w:asciiTheme="minorHAnsi" w:hAnsiTheme="minorHAnsi" w:cstheme="minorHAnsi"/>
        </w:rPr>
      </w:pPr>
      <w:r>
        <w:rPr>
          <w:rFonts w:asciiTheme="minorHAnsi" w:hAnsiTheme="minorHAnsi" w:cstheme="minorHAnsi"/>
        </w:rPr>
        <w:t>rendre notre système de santé plus rés</w:t>
      </w:r>
      <w:r>
        <w:rPr>
          <w:rFonts w:asciiTheme="minorHAnsi" w:hAnsiTheme="minorHAnsi" w:cstheme="minorHAnsi"/>
        </w:rPr>
        <w:t>ilient et mieux préparé face aux défis écologiques et aux crises.</w:t>
      </w:r>
    </w:p>
    <w:p w:rsidR="006917A5" w:rsidRDefault="006917A5">
      <w:pPr>
        <w:pStyle w:val="Contenudecadreuser"/>
        <w:widowControl w:val="0"/>
        <w:jc w:val="both"/>
        <w:rPr>
          <w:rFonts w:asciiTheme="minorHAnsi" w:hAnsiTheme="minorHAnsi"/>
          <w:bCs/>
          <w:color w:val="000000"/>
        </w:rPr>
      </w:pPr>
    </w:p>
    <w:p w:rsidR="006917A5" w:rsidRDefault="003A2E79">
      <w:pPr>
        <w:pStyle w:val="Contenudecadreuser"/>
        <w:widowControl w:val="0"/>
        <w:jc w:val="right"/>
        <w:rPr>
          <w:rFonts w:asciiTheme="minorHAnsi" w:hAnsiTheme="minorHAnsi"/>
          <w:bCs/>
          <w:i/>
          <w:iCs/>
          <w:color w:val="000000"/>
          <w:u w:val="single"/>
        </w:rPr>
      </w:pPr>
      <w:r>
        <w:rPr>
          <w:rFonts w:asciiTheme="minorHAnsi" w:hAnsiTheme="minorHAnsi"/>
          <w:bCs/>
          <w:i/>
          <w:iCs/>
          <w:color w:val="000000"/>
          <w:u w:val="single"/>
        </w:rPr>
        <w:t>https://sante.gouv.fr/</w:t>
      </w:r>
    </w:p>
    <w:p w:rsidR="006917A5" w:rsidRDefault="006917A5">
      <w:pPr>
        <w:widowControl w:val="0"/>
        <w:jc w:val="both"/>
        <w:rPr>
          <w:rFonts w:asciiTheme="minorHAnsi" w:hAnsiTheme="minorHAnsi"/>
          <w:b/>
        </w:rPr>
      </w:pPr>
    </w:p>
    <w:p w:rsidR="006917A5" w:rsidRDefault="006917A5">
      <w:pPr>
        <w:widowControl w:val="0"/>
        <w:jc w:val="both"/>
        <w:rPr>
          <w:rFonts w:asciiTheme="minorHAnsi" w:hAnsiTheme="minorHAnsi"/>
          <w:b/>
        </w:rPr>
      </w:pPr>
    </w:p>
    <w:p w:rsidR="006917A5" w:rsidRDefault="006917A5">
      <w:pPr>
        <w:widowControl w:val="0"/>
        <w:jc w:val="both"/>
        <w:rPr>
          <w:rFonts w:asciiTheme="minorHAnsi" w:hAnsiTheme="minorHAnsi"/>
          <w:b/>
        </w:rPr>
      </w:pPr>
    </w:p>
    <w:p w:rsidR="006917A5" w:rsidRDefault="006917A5">
      <w:pPr>
        <w:widowControl w:val="0"/>
        <w:jc w:val="both"/>
        <w:rPr>
          <w:rFonts w:asciiTheme="minorHAnsi" w:hAnsiTheme="minorHAnsi"/>
          <w:b/>
        </w:rPr>
      </w:pPr>
    </w:p>
    <w:p w:rsidR="006917A5" w:rsidRDefault="006917A5">
      <w:pPr>
        <w:widowControl w:val="0"/>
        <w:jc w:val="both"/>
        <w:rPr>
          <w:rFonts w:asciiTheme="minorHAnsi" w:hAnsiTheme="minorHAnsi"/>
          <w:b/>
        </w:rPr>
      </w:pPr>
    </w:p>
    <w:p w:rsidR="006917A5" w:rsidRDefault="006917A5">
      <w:pPr>
        <w:widowControl w:val="0"/>
        <w:jc w:val="both"/>
        <w:rPr>
          <w:rFonts w:asciiTheme="minorHAnsi" w:hAnsiTheme="minorHAnsi"/>
          <w:b/>
        </w:rPr>
      </w:pPr>
    </w:p>
    <w:p w:rsidR="006917A5" w:rsidRDefault="006917A5">
      <w:pPr>
        <w:widowControl w:val="0"/>
        <w:jc w:val="both"/>
        <w:rPr>
          <w:rFonts w:asciiTheme="minorHAnsi" w:hAnsiTheme="minorHAnsi"/>
          <w:b/>
        </w:rPr>
      </w:pPr>
    </w:p>
    <w:p w:rsidR="006917A5" w:rsidRDefault="006917A5">
      <w:pPr>
        <w:widowControl w:val="0"/>
        <w:jc w:val="both"/>
        <w:rPr>
          <w:rFonts w:asciiTheme="minorHAnsi" w:hAnsiTheme="minorHAnsi"/>
          <w:b/>
        </w:rPr>
      </w:pPr>
    </w:p>
    <w:p w:rsidR="006917A5" w:rsidRDefault="006917A5">
      <w:pPr>
        <w:widowControl w:val="0"/>
        <w:jc w:val="both"/>
        <w:rPr>
          <w:rFonts w:asciiTheme="minorHAnsi" w:hAnsiTheme="minorHAnsi"/>
          <w:b/>
        </w:rPr>
      </w:pPr>
    </w:p>
    <w:p w:rsidR="006917A5" w:rsidRDefault="006917A5">
      <w:pPr>
        <w:widowControl w:val="0"/>
        <w:jc w:val="both"/>
        <w:rPr>
          <w:rFonts w:asciiTheme="minorHAnsi" w:hAnsiTheme="minorHAnsi"/>
          <w:b/>
        </w:rPr>
      </w:pPr>
    </w:p>
    <w:p w:rsidR="006917A5" w:rsidRDefault="006917A5">
      <w:pPr>
        <w:widowControl w:val="0"/>
        <w:jc w:val="both"/>
        <w:rPr>
          <w:rFonts w:asciiTheme="minorHAnsi" w:hAnsiTheme="minorHAnsi"/>
          <w:b/>
        </w:rPr>
      </w:pPr>
    </w:p>
    <w:tbl>
      <w:tblPr>
        <w:tblStyle w:val="Grilledutableau"/>
        <w:tblpPr w:leftFromText="141" w:rightFromText="141" w:vertAnchor="page" w:horzAnchor="margin" w:tblpY="886"/>
        <w:tblW w:w="10485" w:type="dxa"/>
        <w:tblLayout w:type="fixed"/>
        <w:tblLook w:val="04A0"/>
      </w:tblPr>
      <w:tblGrid>
        <w:gridCol w:w="10485"/>
      </w:tblGrid>
      <w:tr w:rsidR="006917A5">
        <w:trPr>
          <w:trHeight w:val="8222"/>
        </w:trPr>
        <w:tc>
          <w:tcPr>
            <w:tcW w:w="10485" w:type="dxa"/>
            <w:tcBorders>
              <w:top w:val="nil"/>
              <w:left w:val="nil"/>
              <w:bottom w:val="nil"/>
              <w:right w:val="nil"/>
            </w:tcBorders>
          </w:tcPr>
          <w:p w:rsidR="006917A5" w:rsidRDefault="003A2E79">
            <w:pPr>
              <w:widowControl w:val="0"/>
              <w:jc w:val="both"/>
              <w:rPr>
                <w:rFonts w:asciiTheme="minorHAnsi" w:hAnsiTheme="minorHAnsi"/>
                <w:b/>
              </w:rPr>
            </w:pPr>
            <w:r>
              <w:rPr>
                <w:rFonts w:asciiTheme="minorHAnsi" w:hAnsiTheme="minorHAnsi"/>
                <w:b/>
              </w:rPr>
              <w:lastRenderedPageBreak/>
              <w:t>Document 2 : Les étapes d’élaboration de la stratégie nationale de santé</w:t>
            </w:r>
          </w:p>
          <w:tbl>
            <w:tblPr>
              <w:tblStyle w:val="Grilledutableau"/>
              <w:tblW w:w="10485" w:type="dxa"/>
              <w:tblLayout w:type="fixed"/>
              <w:tblLook w:val="04A0"/>
            </w:tblPr>
            <w:tblGrid>
              <w:gridCol w:w="10485"/>
            </w:tblGrid>
            <w:tr w:rsidR="006917A5">
              <w:trPr>
                <w:trHeight w:val="137"/>
              </w:trPr>
              <w:tc>
                <w:tcPr>
                  <w:tcW w:w="10485" w:type="dxa"/>
                </w:tcPr>
                <w:p w:rsidR="006917A5" w:rsidRDefault="00B64652">
                  <w:pPr>
                    <w:framePr w:hSpace="141" w:wrap="around" w:vAnchor="page" w:hAnchor="margin" w:y="886"/>
                    <w:widowControl w:val="0"/>
                    <w:tabs>
                      <w:tab w:val="left" w:pos="220"/>
                      <w:tab w:val="left" w:pos="720"/>
                    </w:tabs>
                    <w:rPr>
                      <w:rFonts w:asciiTheme="minorHAnsi" w:hAnsiTheme="minorHAnsi"/>
                      <w:b/>
                      <w:u w:val="single"/>
                    </w:rPr>
                  </w:pPr>
                  <w:r w:rsidRPr="00B64652">
                    <w:rPr>
                      <w:noProof/>
                    </w:rPr>
                    <w:pict>
                      <v:rect id="shape_0" o:spid="_x0000_s1032" style="position:absolute;margin-left:.05pt;margin-top:.05pt;width:49.95pt;height:49.95pt;z-index:251656704;mso-wrap-style:none;v-text-anchor:middle" filled="f" stroked="f" strokecolor="#3465a4">
                        <v:fill o:detectmouseclick="t"/>
                        <v:stroke joinstyle="round"/>
                      </v:rect>
                    </w:pict>
                  </w:r>
                  <w:r w:rsidRPr="00B64652">
                    <w:rPr>
                      <w:noProof/>
                    </w:rPr>
                    <w:pict>
                      <v:rect id="_x0000_s1031" style="position:absolute;margin-left:0;margin-top:.05pt;width:49.95pt;height:49.95pt;z-index:251657728;mso-wrap-style:none;v-text-anchor:middle" filled="f" stroked="f" strokecolor="#3465a4">
                        <v:fill o:detectmouseclick="t"/>
                        <v:stroke joinstyle="round"/>
                      </v:rect>
                    </w:pict>
                  </w:r>
                  <w:r w:rsidRPr="00B6465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10" o:spid="_x0000_s1027" type="#_x0000_t75" style="position:absolute;margin-left:0;margin-top:0;width:50pt;height:50pt;z-index:251655680;visibility:hidden">
                        <o:lock v:ext="edit" selection="t"/>
                      </v:shape>
                    </w:pict>
                  </w:r>
                  <w:r w:rsidRPr="00B64652">
                    <w:rPr>
                      <w:sz w:val="24"/>
                      <w:szCs w:val="24"/>
                    </w:rPr>
                    <w:object w:dxaOrig="12885" w:dyaOrig="10830">
                      <v:shape id="ole_rId10" o:spid="_x0000_i1025" type="#_x0000_t75" style="width:191.25pt;height:160.5pt;visibility:visible;mso-wrap-distance-right:0" o:ole="" filled="t">
                        <v:imagedata r:id="rId16" o:title=""/>
                      </v:shape>
                      <o:OLEObject Type="Embed" ProgID="PBrush" ShapeID="ole_rId10" DrawAspect="Content" ObjectID="_1855549776" r:id="rId17"/>
                    </w:object>
                  </w:r>
                  <w:r w:rsidRPr="00B64652">
                    <w:rPr>
                      <w:rFonts w:asciiTheme="minorHAnsi" w:hAnsiTheme="minorHAnsi"/>
                      <w:b/>
                      <w:u w:val="single"/>
                    </w:rPr>
                  </w:r>
                  <w:r w:rsidRPr="00B64652">
                    <w:rPr>
                      <w:rFonts w:asciiTheme="minorHAnsi" w:hAnsiTheme="minorHAnsi"/>
                      <w:b/>
                      <w:u w:val="single"/>
                    </w:rPr>
                    <w:pict>
                      <v:rect id="Rectangle 30" o:spid="_x0000_s1029" alt="Aperçu"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r w:rsidR="000025EF" w:rsidRPr="000025EF">
                    <w:rPr>
                      <w:rFonts w:asciiTheme="minorHAnsi" w:hAnsiTheme="minorHAnsi"/>
                      <w:b/>
                      <w:noProof/>
                      <w:u w:val="single"/>
                    </w:rPr>
                    <w:drawing>
                      <wp:inline distT="0" distB="0" distL="0" distR="0">
                        <wp:extent cx="2187130" cy="2232853"/>
                        <wp:effectExtent l="0" t="0" r="381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87130" cy="2232853"/>
                                </a:xfrm>
                                <a:prstGeom prst="rect">
                                  <a:avLst/>
                                </a:prstGeom>
                              </pic:spPr>
                            </pic:pic>
                          </a:graphicData>
                        </a:graphic>
                      </wp:inline>
                    </w:drawing>
                  </w:r>
                </w:p>
                <w:p w:rsidR="006917A5" w:rsidRDefault="003A2E79">
                  <w:pPr>
                    <w:framePr w:hSpace="141" w:wrap="around" w:vAnchor="page" w:hAnchor="margin" w:y="886"/>
                    <w:widowControl w:val="0"/>
                    <w:tabs>
                      <w:tab w:val="left" w:pos="220"/>
                      <w:tab w:val="left" w:pos="720"/>
                    </w:tabs>
                    <w:jc w:val="right"/>
                    <w:rPr>
                      <w:rFonts w:asciiTheme="minorHAnsi" w:hAnsiTheme="minorHAnsi"/>
                      <w:i/>
                      <w:sz w:val="20"/>
                      <w:szCs w:val="20"/>
                    </w:rPr>
                  </w:pPr>
                  <w:r>
                    <w:rPr>
                      <w:rFonts w:asciiTheme="minorHAnsi" w:hAnsiTheme="minorHAnsi"/>
                      <w:i/>
                      <w:sz w:val="20"/>
                      <w:szCs w:val="20"/>
                    </w:rPr>
                    <w:t xml:space="preserve">Source : </w:t>
                  </w:r>
                  <w:hyperlink r:id="rId19">
                    <w:r>
                      <w:rPr>
                        <w:rFonts w:asciiTheme="minorHAnsi" w:hAnsiTheme="minorHAnsi"/>
                        <w:i/>
                        <w:sz w:val="20"/>
                        <w:szCs w:val="20"/>
                      </w:rPr>
                      <w:t>https://solidarites-sante.gouv.fr/</w:t>
                    </w:r>
                  </w:hyperlink>
                  <w:r>
                    <w:rPr>
                      <w:rFonts w:asciiTheme="minorHAnsi" w:hAnsiTheme="minorHAnsi"/>
                      <w:i/>
                      <w:sz w:val="20"/>
                      <w:szCs w:val="20"/>
                    </w:rPr>
                    <w:t xml:space="preserve"> - 18 septembre 2017</w:t>
                  </w:r>
                </w:p>
              </w:tc>
            </w:tr>
          </w:tbl>
          <w:p w:rsidR="006917A5" w:rsidRDefault="006917A5">
            <w:pPr>
              <w:widowControl w:val="0"/>
              <w:tabs>
                <w:tab w:val="left" w:pos="220"/>
                <w:tab w:val="left" w:pos="720"/>
              </w:tabs>
              <w:rPr>
                <w:rFonts w:asciiTheme="minorHAnsi" w:hAnsiTheme="minorHAnsi" w:cstheme="minorHAnsi"/>
                <w:b/>
                <w:bCs/>
                <w:u w:val="single"/>
              </w:rPr>
            </w:pPr>
          </w:p>
          <w:p w:rsidR="006917A5" w:rsidRDefault="003A2E79">
            <w:pPr>
              <w:widowControl w:val="0"/>
              <w:tabs>
                <w:tab w:val="left" w:pos="220"/>
                <w:tab w:val="left" w:pos="720"/>
              </w:tabs>
              <w:rPr>
                <w:rFonts w:asciiTheme="minorHAnsi" w:hAnsiTheme="minorHAnsi" w:cstheme="minorHAnsi"/>
                <w:b/>
                <w:bCs/>
                <w:u w:val="single"/>
              </w:rPr>
            </w:pPr>
            <w:r>
              <w:rPr>
                <w:rFonts w:asciiTheme="minorHAnsi" w:hAnsiTheme="minorHAnsi" w:cstheme="minorHAnsi"/>
                <w:b/>
                <w:bCs/>
                <w:u w:val="single"/>
              </w:rPr>
              <w:t>Document 3 : La stratégie nationale de santé 2023-2033</w:t>
            </w:r>
          </w:p>
          <w:p w:rsidR="006917A5" w:rsidRDefault="003A2E79">
            <w:pPr>
              <w:widowControl w:val="0"/>
              <w:tabs>
                <w:tab w:val="left" w:pos="220"/>
                <w:tab w:val="left" w:pos="720"/>
              </w:tabs>
              <w:jc w:val="right"/>
              <w:rPr>
                <w:rFonts w:asciiTheme="minorHAnsi" w:hAnsiTheme="minorHAnsi" w:cstheme="minorHAnsi"/>
                <w:b/>
                <w:bCs/>
                <w:u w:val="single"/>
              </w:rPr>
            </w:pPr>
            <w:r>
              <w:rPr>
                <w:noProof/>
              </w:rPr>
              <w:drawing>
                <wp:inline distT="0" distB="0" distL="0" distR="0">
                  <wp:extent cx="6544310" cy="3646805"/>
                  <wp:effectExtent l="0" t="0" r="0" b="0"/>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a:picLocks noChangeAspect="1" noChangeArrowheads="1"/>
                          </pic:cNvPicPr>
                        </pic:nvPicPr>
                        <pic:blipFill>
                          <a:blip r:embed="rId20"/>
                          <a:stretch>
                            <a:fillRect/>
                          </a:stretch>
                        </pic:blipFill>
                        <pic:spPr bwMode="auto">
                          <a:xfrm>
                            <a:off x="0" y="0"/>
                            <a:ext cx="6544310" cy="3646805"/>
                          </a:xfrm>
                          <a:prstGeom prst="rect">
                            <a:avLst/>
                          </a:prstGeom>
                          <a:noFill/>
                        </pic:spPr>
                      </pic:pic>
                    </a:graphicData>
                  </a:graphic>
                </wp:inline>
              </w:drawing>
            </w:r>
          </w:p>
          <w:p w:rsidR="006917A5" w:rsidRDefault="006917A5">
            <w:pPr>
              <w:widowControl w:val="0"/>
              <w:tabs>
                <w:tab w:val="left" w:pos="220"/>
                <w:tab w:val="left" w:pos="720"/>
              </w:tabs>
              <w:rPr>
                <w:rFonts w:asciiTheme="minorHAnsi" w:hAnsiTheme="minorHAnsi" w:cstheme="minorHAnsi"/>
                <w:b/>
                <w:bCs/>
                <w:u w:val="single"/>
              </w:rPr>
            </w:pPr>
          </w:p>
          <w:p w:rsidR="006917A5" w:rsidRDefault="003A2E79">
            <w:pPr>
              <w:widowControl w:val="0"/>
              <w:tabs>
                <w:tab w:val="left" w:pos="220"/>
                <w:tab w:val="left" w:pos="720"/>
              </w:tabs>
              <w:rPr>
                <w:rFonts w:asciiTheme="minorHAnsi" w:hAnsiTheme="minorHAnsi" w:cstheme="minorHAnsi"/>
                <w:b/>
                <w:bCs/>
                <w:u w:val="single"/>
              </w:rPr>
            </w:pPr>
            <w:r>
              <w:rPr>
                <w:rFonts w:asciiTheme="minorHAnsi" w:hAnsiTheme="minorHAnsi" w:cstheme="minorHAnsi"/>
                <w:b/>
                <w:bCs/>
                <w:u w:val="single"/>
              </w:rPr>
              <w:t xml:space="preserve">Document 4 : Le plan Santé mentale et </w:t>
            </w:r>
            <w:r>
              <w:rPr>
                <w:rFonts w:asciiTheme="minorHAnsi" w:hAnsiTheme="minorHAnsi" w:cstheme="minorHAnsi"/>
                <w:b/>
                <w:bCs/>
                <w:u w:val="single"/>
              </w:rPr>
              <w:t>psychiatrie - 2025</w:t>
            </w:r>
          </w:p>
          <w:p w:rsidR="006917A5" w:rsidRDefault="006917A5">
            <w:pPr>
              <w:widowControl w:val="0"/>
              <w:tabs>
                <w:tab w:val="left" w:pos="220"/>
                <w:tab w:val="left" w:pos="720"/>
              </w:tabs>
              <w:rPr>
                <w:rFonts w:asciiTheme="minorHAnsi" w:hAnsiTheme="minorHAnsi" w:cstheme="minorHAnsi"/>
                <w:b/>
                <w:bCs/>
                <w:u w:val="single"/>
              </w:rPr>
            </w:pPr>
          </w:p>
          <w:p w:rsidR="006917A5" w:rsidRDefault="003A2E79">
            <w:pPr>
              <w:pStyle w:val="NormalWeb"/>
              <w:jc w:val="center"/>
            </w:pPr>
            <w:r>
              <w:rPr>
                <w:noProof/>
              </w:rPr>
              <w:drawing>
                <wp:inline distT="0" distB="0" distL="0" distR="0">
                  <wp:extent cx="1772285" cy="2208453"/>
                  <wp:effectExtent l="0" t="0" r="0" b="1905"/>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4"/>
                          <pic:cNvPicPr>
                            <a:picLocks noChangeAspect="1" noChangeArrowheads="1"/>
                          </pic:cNvPicPr>
                        </pic:nvPicPr>
                        <pic:blipFill>
                          <a:blip r:embed="rId21" cstate="print"/>
                          <a:stretch>
                            <a:fillRect/>
                          </a:stretch>
                        </pic:blipFill>
                        <pic:spPr bwMode="auto">
                          <a:xfrm>
                            <a:off x="0" y="0"/>
                            <a:ext cx="1774171" cy="2210803"/>
                          </a:xfrm>
                          <a:prstGeom prst="rect">
                            <a:avLst/>
                          </a:prstGeom>
                          <a:noFill/>
                        </pic:spPr>
                      </pic:pic>
                    </a:graphicData>
                  </a:graphic>
                </wp:inline>
              </w:drawing>
            </w:r>
            <w:r w:rsidR="000025EF" w:rsidRPr="000025EF">
              <w:rPr>
                <w:noProof/>
              </w:rPr>
              <w:drawing>
                <wp:inline distT="0" distB="0" distL="0" distR="0">
                  <wp:extent cx="2270957" cy="2187130"/>
                  <wp:effectExtent l="0" t="0" r="0" b="381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70957" cy="2187130"/>
                          </a:xfrm>
                          <a:prstGeom prst="rect">
                            <a:avLst/>
                          </a:prstGeom>
                        </pic:spPr>
                      </pic:pic>
                    </a:graphicData>
                  </a:graphic>
                </wp:inline>
              </w:drawing>
            </w:r>
          </w:p>
          <w:p w:rsidR="006917A5" w:rsidRDefault="003A2E79">
            <w:pPr>
              <w:pStyle w:val="NormalWeb"/>
              <w:jc w:val="right"/>
              <w:rPr>
                <w:rFonts w:asciiTheme="minorHAnsi" w:hAnsiTheme="minorHAnsi" w:cstheme="minorHAnsi"/>
                <w:i/>
                <w:iCs/>
                <w:sz w:val="20"/>
                <w:szCs w:val="20"/>
                <w:u w:val="single"/>
              </w:rPr>
            </w:pPr>
            <w:r>
              <w:rPr>
                <w:rFonts w:asciiTheme="minorHAnsi" w:hAnsiTheme="minorHAnsi" w:cstheme="minorHAnsi"/>
                <w:i/>
                <w:iCs/>
                <w:sz w:val="20"/>
                <w:szCs w:val="20"/>
                <w:u w:val="single"/>
              </w:rPr>
              <w:t>https://www.info.gouv.fr/actualite/ce-quil-faut-retenir-du-plan-psychiatrie-2025</w:t>
            </w:r>
          </w:p>
          <w:p w:rsidR="006917A5" w:rsidRDefault="006917A5">
            <w:pPr>
              <w:widowControl w:val="0"/>
              <w:tabs>
                <w:tab w:val="left" w:pos="220"/>
                <w:tab w:val="left" w:pos="720"/>
              </w:tabs>
            </w:pPr>
          </w:p>
          <w:p w:rsidR="006917A5" w:rsidRDefault="003A2E79">
            <w:pPr>
              <w:suppressAutoHyphens w:val="0"/>
              <w:spacing w:line="259" w:lineRule="auto"/>
              <w:jc w:val="both"/>
              <w:rPr>
                <w:rFonts w:asciiTheme="minorHAnsi" w:eastAsiaTheme="minorHAnsi" w:hAnsiTheme="minorHAnsi" w:cstheme="minorHAnsi"/>
                <w:b/>
                <w:bCs/>
                <w:u w:val="single"/>
                <w:lang w:eastAsia="en-US"/>
              </w:rPr>
            </w:pPr>
            <w:r>
              <w:rPr>
                <w:rFonts w:asciiTheme="minorHAnsi" w:eastAsiaTheme="minorHAnsi" w:hAnsiTheme="minorHAnsi" w:cstheme="minorHAnsi"/>
                <w:b/>
                <w:bCs/>
                <w:u w:val="single"/>
                <w:lang w:eastAsia="en-US"/>
              </w:rPr>
              <w:lastRenderedPageBreak/>
              <w:t>Document 5: Santé mentale : le gouvernement accélère</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 xml:space="preserve">À l’occasion de l’événement « Santé mentale, Grande cause nationale » organisé le 2 juin au </w:t>
            </w:r>
            <w:r>
              <w:rPr>
                <w:rFonts w:asciiTheme="minorHAnsi" w:hAnsiTheme="minorHAnsi" w:cstheme="minorHAnsi"/>
              </w:rPr>
              <w:t>ministère de la Santé, le Gouvernement dresse le bilan de la Grande Cause Nationale 2025 et présente ses priorités pour 2026.</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Sous l’impulsion du Premier ministre, la France franchit une nouvelle étape. Parce qu’elle touche à la réussite sc</w:t>
            </w:r>
            <w:r>
              <w:rPr>
                <w:rFonts w:asciiTheme="minorHAnsi" w:hAnsiTheme="minorHAnsi" w:cstheme="minorHAnsi"/>
              </w:rPr>
              <w:t>o</w:t>
            </w:r>
            <w:r>
              <w:rPr>
                <w:rFonts w:asciiTheme="minorHAnsi" w:hAnsiTheme="minorHAnsi" w:cstheme="minorHAnsi"/>
              </w:rPr>
              <w:t>laire, à la vie</w:t>
            </w:r>
            <w:r>
              <w:rPr>
                <w:rFonts w:asciiTheme="minorHAnsi" w:hAnsiTheme="minorHAnsi" w:cstheme="minorHAnsi"/>
              </w:rPr>
              <w:t xml:space="preserve"> étudiante, au travail, au monde agricole, à la citoyenneté, à la cohésion sociale ou encore à la prote</w:t>
            </w:r>
            <w:r>
              <w:rPr>
                <w:rFonts w:asciiTheme="minorHAnsi" w:hAnsiTheme="minorHAnsi" w:cstheme="minorHAnsi"/>
              </w:rPr>
              <w:t>c</w:t>
            </w:r>
            <w:r>
              <w:rPr>
                <w:rFonts w:asciiTheme="minorHAnsi" w:hAnsiTheme="minorHAnsi" w:cstheme="minorHAnsi"/>
              </w:rPr>
              <w:t>tion des jeunes dans l’espace numérique, la santé mentale doit désormais irriguer l’ensemble des politiques p</w:t>
            </w:r>
            <w:r>
              <w:rPr>
                <w:rFonts w:asciiTheme="minorHAnsi" w:hAnsiTheme="minorHAnsi" w:cstheme="minorHAnsi"/>
              </w:rPr>
              <w:t>u</w:t>
            </w:r>
            <w:r>
              <w:rPr>
                <w:rFonts w:asciiTheme="minorHAnsi" w:hAnsiTheme="minorHAnsi" w:cstheme="minorHAnsi"/>
              </w:rPr>
              <w:t>bliques.</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La mobilisation engagée en 2025 a</w:t>
            </w:r>
            <w:r>
              <w:rPr>
                <w:rFonts w:asciiTheme="minorHAnsi" w:hAnsiTheme="minorHAnsi" w:cstheme="minorHAnsi"/>
              </w:rPr>
              <w:t xml:space="preserve"> permis d’obtenir des résultats concrets. La France a atteint avec un an d’avance l’objectif de 300 000 citoyens formés aux premiers secours en santé mentale. Une Maison des adolescents est désormais présente dans chaque département. Le dispositif MonSouti</w:t>
            </w:r>
            <w:r>
              <w:rPr>
                <w:rFonts w:asciiTheme="minorHAnsi" w:hAnsiTheme="minorHAnsi" w:cstheme="minorHAnsi"/>
              </w:rPr>
              <w:t>enPsy a permis de proposer un accomp</w:t>
            </w:r>
            <w:r>
              <w:rPr>
                <w:rFonts w:asciiTheme="minorHAnsi" w:hAnsiTheme="minorHAnsi" w:cstheme="minorHAnsi"/>
              </w:rPr>
              <w:t>a</w:t>
            </w:r>
            <w:r>
              <w:rPr>
                <w:rFonts w:asciiTheme="minorHAnsi" w:hAnsiTheme="minorHAnsi" w:cstheme="minorHAnsi"/>
              </w:rPr>
              <w:t>gnement psychologique à près de 1,8 million de patients depuis sa création. Entre 2022 et 2025, le nombre de bénéficiaires annuels a été multiplié par cinq, passant de 109 798 à 519 051 patients. Les projets territoriau</w:t>
            </w:r>
            <w:r>
              <w:rPr>
                <w:rFonts w:asciiTheme="minorHAnsi" w:hAnsiTheme="minorHAnsi" w:cstheme="minorHAnsi"/>
              </w:rPr>
              <w:t>x de santé mentale ont été renforcés avec une attention particulière portée aux enfants et aux adolescents. Les mini</w:t>
            </w:r>
            <w:r>
              <w:rPr>
                <w:rFonts w:asciiTheme="minorHAnsi" w:hAnsiTheme="minorHAnsi" w:cstheme="minorHAnsi"/>
              </w:rPr>
              <w:t>s</w:t>
            </w:r>
            <w:r>
              <w:rPr>
                <w:rFonts w:asciiTheme="minorHAnsi" w:hAnsiTheme="minorHAnsi" w:cstheme="minorHAnsi"/>
              </w:rPr>
              <w:t xml:space="preserve">tères se sont mobilisés pour faire progresser la santé mentale à l’école, dans l’enseignement supérieur, dans le monde du travail, dans le </w:t>
            </w:r>
            <w:r>
              <w:rPr>
                <w:rFonts w:asciiTheme="minorHAnsi" w:hAnsiTheme="minorHAnsi" w:cstheme="minorHAnsi"/>
              </w:rPr>
              <w:t>secteur agricole ou encore auprès des professionnels de santé. La Grande Cause Nati</w:t>
            </w:r>
            <w:r>
              <w:rPr>
                <w:rFonts w:asciiTheme="minorHAnsi" w:hAnsiTheme="minorHAnsi" w:cstheme="minorHAnsi"/>
              </w:rPr>
              <w:t>o</w:t>
            </w:r>
            <w:r>
              <w:rPr>
                <w:rFonts w:asciiTheme="minorHAnsi" w:hAnsiTheme="minorHAnsi" w:cstheme="minorHAnsi"/>
              </w:rPr>
              <w:t>nale a également permis de faire émerger partout sur le territoire des initiatives innovantes associant soignants, collectivités, associations, personnes concernées et proc</w:t>
            </w:r>
            <w:r>
              <w:rPr>
                <w:rFonts w:asciiTheme="minorHAnsi" w:hAnsiTheme="minorHAnsi" w:cstheme="minorHAnsi"/>
              </w:rPr>
              <w:t>hes aidants.</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Forte de ce bilan, la France accélère. L’année 2026 sera celle du changement d’échelle : agir plus tôt, orienter plus vite, accompagner davantage et faire de la santé mentale une responsabilité partagée par l’ensemble des pol</w:t>
            </w:r>
            <w:r>
              <w:rPr>
                <w:rFonts w:asciiTheme="minorHAnsi" w:hAnsiTheme="minorHAnsi" w:cstheme="minorHAnsi"/>
              </w:rPr>
              <w:t>i</w:t>
            </w:r>
            <w:r>
              <w:rPr>
                <w:rFonts w:asciiTheme="minorHAnsi" w:hAnsiTheme="minorHAnsi" w:cstheme="minorHAnsi"/>
              </w:rPr>
              <w:t>tiques publiques.</w:t>
            </w:r>
            <w:r>
              <w:rPr>
                <w:rFonts w:asciiTheme="minorHAnsi" w:hAnsiTheme="minorHAnsi" w:cstheme="minorHAnsi"/>
              </w:rPr>
              <w:t xml:space="preserve"> Aucun élève en souffrance psychique sans solution : un accès prioritaire aux soins dès la rentrée 2026.</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Parce que les troubles psychiques apparaissent souvent dès l’enfance ou l’adolescence et que les délais d’accès aux soins demeurent trop importants, le</w:t>
            </w:r>
            <w:r>
              <w:rPr>
                <w:rFonts w:asciiTheme="minorHAnsi" w:hAnsiTheme="minorHAnsi" w:cstheme="minorHAnsi"/>
              </w:rPr>
              <w:t xml:space="preserve"> Gouvernement met en place un dispositif inédit d’orientation prioritaire pour les élèves présentant des signes de souffrance psychique.</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À compter de la rentrée 2026, lorsqu’un médecin, un infirmier, un psychologue ou un assistant de service social de l’Éd</w:t>
            </w:r>
            <w:r>
              <w:rPr>
                <w:rFonts w:asciiTheme="minorHAnsi" w:hAnsiTheme="minorHAnsi" w:cstheme="minorHAnsi"/>
              </w:rPr>
              <w:t>ucation nationale identifiera un enfant ou un adolescent en situation de souffrance psychique, celui-ci pourra bénéficier d’une orientation prioritaire vers une structure adaptée de son territoire grâce à un dispositif de prise en charge accélérée.</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Cette o</w:t>
            </w:r>
            <w:r>
              <w:rPr>
                <w:rFonts w:asciiTheme="minorHAnsi" w:hAnsiTheme="minorHAnsi" w:cstheme="minorHAnsi"/>
              </w:rPr>
              <w:t>rganisation reposera sur une coopération renforcée entre les rectorats, les agences régionales de santé et les acteurs de la santé mentale afin de réduire les délais d’accès aux soins et d’éviter les ruptures de parcours.</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Lorsqu’un risque de passage à l’ac</w:t>
            </w:r>
            <w:r>
              <w:rPr>
                <w:rFonts w:asciiTheme="minorHAnsi" w:hAnsiTheme="minorHAnsi" w:cstheme="minorHAnsi"/>
              </w:rPr>
              <w:t>te ou un danger vital sera identifié, les familles pourront bénéficier d’une prise en charge immédiate grâce au Service d’accès aux soins et aux filières psychiatriques d’urgence.</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 xml:space="preserve">L’objectif est simple : qu’aucun enfant ou adolescent identifié comme étant </w:t>
            </w:r>
            <w:r>
              <w:rPr>
                <w:rFonts w:asciiTheme="minorHAnsi" w:hAnsiTheme="minorHAnsi" w:cstheme="minorHAnsi"/>
              </w:rPr>
              <w:t>en souffrance psychique ne reste sans solution adaptée ou sans rendez-vous dans des délais compatibles avec son état de santé.</w:t>
            </w:r>
          </w:p>
          <w:p w:rsidR="006917A5" w:rsidRDefault="003A2E79">
            <w:pPr>
              <w:suppressAutoHyphens w:val="0"/>
              <w:spacing w:beforeAutospacing="1" w:afterAutospacing="1"/>
              <w:jc w:val="both"/>
              <w:outlineLvl w:val="2"/>
              <w:rPr>
                <w:rFonts w:asciiTheme="minorHAnsi" w:hAnsiTheme="minorHAnsi" w:cstheme="minorHAnsi"/>
                <w:b/>
                <w:bCs/>
              </w:rPr>
            </w:pPr>
            <w:r>
              <w:rPr>
                <w:rFonts w:asciiTheme="minorHAnsi" w:hAnsiTheme="minorHAnsi" w:cstheme="minorHAnsi"/>
                <w:b/>
                <w:bCs/>
              </w:rPr>
              <w:t>Un objectif inédit pour la psychiatrie française : tendre vers le zéro contention à l’horizon 2030</w:t>
            </w:r>
          </w:p>
          <w:p w:rsidR="006917A5" w:rsidRDefault="003A2E79">
            <w:pPr>
              <w:suppressAutoHyphens w:val="0"/>
              <w:spacing w:beforeAutospacing="1" w:afterAutospacing="1"/>
              <w:jc w:val="both"/>
              <w:rPr>
                <w:rFonts w:asciiTheme="minorHAnsi" w:hAnsiTheme="minorHAnsi" w:cstheme="minorHAnsi"/>
              </w:rPr>
            </w:pPr>
            <w:r>
              <w:rPr>
                <w:rFonts w:asciiTheme="minorHAnsi" w:hAnsiTheme="minorHAnsi" w:cstheme="minorHAnsi"/>
              </w:rPr>
              <w:t>Le Gouvernement fixe un objectif collectif de réduction maximale du recours à l’isolement et à la contention avec la perspective d’atteindre le zéro contention à l’horizon 2030. […]</w:t>
            </w:r>
          </w:p>
          <w:p w:rsidR="006917A5" w:rsidRDefault="00B64652">
            <w:pPr>
              <w:suppressAutoHyphens w:val="0"/>
              <w:spacing w:after="160" w:line="259" w:lineRule="auto"/>
              <w:jc w:val="right"/>
              <w:rPr>
                <w:rFonts w:asciiTheme="minorHAnsi" w:eastAsiaTheme="minorHAnsi" w:hAnsiTheme="minorHAnsi" w:cstheme="minorBidi"/>
                <w:b/>
                <w:bCs/>
                <w:i/>
                <w:iCs/>
                <w:u w:val="single"/>
                <w:lang w:eastAsia="en-US"/>
              </w:rPr>
            </w:pPr>
            <w:hyperlink r:id="rId23">
              <w:r w:rsidR="003A2E79">
                <w:rPr>
                  <w:rStyle w:val="Lienhypertexte"/>
                  <w:rFonts w:asciiTheme="minorHAnsi" w:eastAsiaTheme="minorHAnsi" w:hAnsiTheme="minorHAnsi" w:cstheme="minorBidi"/>
                  <w:b/>
                  <w:bCs/>
                  <w:i/>
                  <w:iCs/>
                  <w:lang w:eastAsia="en-US"/>
                </w:rPr>
                <w:t>https://sante.gouv.fr/</w:t>
              </w:r>
            </w:hyperlink>
            <w:r w:rsidR="003A2E79">
              <w:rPr>
                <w:rFonts w:asciiTheme="minorHAnsi" w:eastAsiaTheme="minorHAnsi" w:hAnsiTheme="minorHAnsi" w:cstheme="minorBidi"/>
                <w:b/>
                <w:bCs/>
                <w:i/>
                <w:iCs/>
                <w:u w:val="single"/>
                <w:lang w:eastAsia="en-US"/>
              </w:rPr>
              <w:t xml:space="preserve"> - mai 2026</w:t>
            </w:r>
          </w:p>
          <w:p w:rsidR="006917A5" w:rsidRDefault="006917A5">
            <w:pPr>
              <w:widowControl w:val="0"/>
              <w:tabs>
                <w:tab w:val="left" w:pos="220"/>
                <w:tab w:val="left" w:pos="720"/>
              </w:tabs>
            </w:pPr>
          </w:p>
        </w:tc>
      </w:tr>
    </w:tbl>
    <w:p w:rsidR="006917A5" w:rsidRDefault="006917A5">
      <w:pPr>
        <w:jc w:val="both"/>
        <w:rPr>
          <w:rFonts w:asciiTheme="minorHAnsi" w:hAnsiTheme="minorHAnsi" w:cstheme="minorHAnsi"/>
          <w:b/>
          <w:bCs/>
        </w:rPr>
      </w:pPr>
    </w:p>
    <w:tbl>
      <w:tblPr>
        <w:tblStyle w:val="Grilledutableau"/>
        <w:tblW w:w="10938" w:type="dxa"/>
        <w:tblInd w:w="-147" w:type="dxa"/>
        <w:tblLayout w:type="fixed"/>
        <w:tblLook w:val="04A0"/>
      </w:tblPr>
      <w:tblGrid>
        <w:gridCol w:w="10938"/>
      </w:tblGrid>
      <w:tr w:rsidR="006917A5">
        <w:tc>
          <w:tcPr>
            <w:tcW w:w="10938" w:type="dxa"/>
          </w:tcPr>
          <w:p w:rsidR="006917A5" w:rsidRDefault="003A2E79">
            <w:pPr>
              <w:widowControl w:val="0"/>
              <w:rPr>
                <w:rFonts w:asciiTheme="minorHAnsi" w:hAnsiTheme="minorHAnsi" w:cstheme="minorHAnsi"/>
                <w:b/>
                <w:u w:val="single"/>
              </w:rPr>
            </w:pPr>
            <w:r>
              <w:rPr>
                <w:rFonts w:asciiTheme="minorHAnsi" w:hAnsiTheme="minorHAnsi" w:cstheme="minorHAnsi"/>
                <w:b/>
                <w:u w:val="single"/>
              </w:rPr>
              <w:t>Document 6 : La santé mentale : politique et enjeux</w:t>
            </w:r>
          </w:p>
          <w:p w:rsidR="006917A5" w:rsidRDefault="006917A5">
            <w:pPr>
              <w:widowControl w:val="0"/>
              <w:rPr>
                <w:b/>
              </w:rPr>
            </w:pPr>
          </w:p>
          <w:p w:rsidR="006917A5" w:rsidRDefault="003A2E79">
            <w:pPr>
              <w:widowControl w:val="0"/>
              <w:jc w:val="both"/>
              <w:rPr>
                <w:rFonts w:asciiTheme="minorHAnsi" w:hAnsiTheme="minorHAnsi" w:cstheme="minorHAnsi"/>
                <w:bCs/>
              </w:rPr>
            </w:pPr>
            <w:r>
              <w:rPr>
                <w:rFonts w:asciiTheme="minorHAnsi" w:hAnsiTheme="minorHAnsi" w:cstheme="minorHAnsi"/>
                <w:bCs/>
              </w:rPr>
              <w:t xml:space="preserve">En France, les politiques publiques jouent un rôle crucial dans le domaine de la santé mentale. La loi de modernisation du système de santé de 2016 introduit les projets territoriaux de santé mentale, qui visent à améliorer l'accès des </w:t>
            </w:r>
            <w:r>
              <w:rPr>
                <w:rFonts w:asciiTheme="minorHAnsi" w:hAnsiTheme="minorHAnsi" w:cstheme="minorHAnsi"/>
                <w:bCs/>
              </w:rPr>
              <w:lastRenderedPageBreak/>
              <w:t>personnes concernées</w:t>
            </w:r>
            <w:r>
              <w:rPr>
                <w:rFonts w:asciiTheme="minorHAnsi" w:hAnsiTheme="minorHAnsi" w:cstheme="minorHAnsi"/>
                <w:bCs/>
              </w:rPr>
              <w:t xml:space="preserve"> à des parcours de santé et de vie de qualité, sécurisés et sans rupture. Un rapport de Michel Laforcade en octobre 2016 soutient cette approche globale de la santé mentale et conduit à la création du Conseil National de Santé Mentale (CNSM), chargé de fac</w:t>
            </w:r>
            <w:r>
              <w:rPr>
                <w:rFonts w:asciiTheme="minorHAnsi" w:hAnsiTheme="minorHAnsi" w:cstheme="minorHAnsi"/>
                <w:bCs/>
              </w:rPr>
              <w:t>iliter la mise en œuvre de la loi et de veiller à la cohérence des politiques dans les domaines de la prévention, du sanitaire, du social et du médico-social.</w:t>
            </w:r>
          </w:p>
          <w:p w:rsidR="006917A5" w:rsidRDefault="003A2E79">
            <w:pPr>
              <w:widowControl w:val="0"/>
              <w:jc w:val="both"/>
              <w:rPr>
                <w:rFonts w:asciiTheme="minorHAnsi" w:hAnsiTheme="minorHAnsi" w:cstheme="minorHAnsi"/>
                <w:bCs/>
              </w:rPr>
            </w:pPr>
            <w:r>
              <w:rPr>
                <w:rFonts w:asciiTheme="minorHAnsi" w:hAnsiTheme="minorHAnsi" w:cstheme="minorHAnsi"/>
                <w:bCs/>
              </w:rPr>
              <w:t>Le CNSM est à l'origine du décret de juillet 2017 relatif au projet territorial de santé mentale,</w:t>
            </w:r>
            <w:r>
              <w:rPr>
                <w:rFonts w:asciiTheme="minorHAnsi" w:hAnsiTheme="minorHAnsi" w:cstheme="minorHAnsi"/>
                <w:bCs/>
              </w:rPr>
              <w:t xml:space="preserve"> qui établit les principes et objectifs des projet territoriaux de santé mentale (PTSM). Une circulaire de juin 2018 accompagne les acteurs de santé mentale dans l'élaboration et la mise en œuvre de ces projets, en précisant les priorités nationales, les m</w:t>
            </w:r>
            <w:r>
              <w:rPr>
                <w:rFonts w:asciiTheme="minorHAnsi" w:hAnsiTheme="minorHAnsi" w:cstheme="minorHAnsi"/>
                <w:bCs/>
              </w:rPr>
              <w:t xml:space="preserve">odalités de définition du territoire, de mobilisation des acteurs, de contractualisation, de suivi et d'évaluation du projet. Le projet territorial de santé mentale, tel que défini par les textes, implique un travail de planification sanitaire, sociale et </w:t>
            </w:r>
            <w:r>
              <w:rPr>
                <w:rFonts w:asciiTheme="minorHAnsi" w:hAnsiTheme="minorHAnsi" w:cstheme="minorHAnsi"/>
                <w:bCs/>
              </w:rPr>
              <w:t>médico-sociale. Il nécessite un état des lieux des ressources disponibles, une observation des besoins et une analyse concertée de l'adéquation entre l'offre et les besoins. Il doit également prendre en compte les différentes politiques publiques qui impac</w:t>
            </w:r>
            <w:r>
              <w:rPr>
                <w:rFonts w:asciiTheme="minorHAnsi" w:hAnsiTheme="minorHAnsi" w:cstheme="minorHAnsi"/>
                <w:bCs/>
              </w:rPr>
              <w:t>tent le domaine de la santé mentale.</w:t>
            </w:r>
          </w:p>
          <w:p w:rsidR="006917A5" w:rsidRDefault="003A2E79">
            <w:pPr>
              <w:widowControl w:val="0"/>
              <w:jc w:val="right"/>
              <w:rPr>
                <w:rFonts w:asciiTheme="minorHAnsi" w:hAnsiTheme="minorHAnsi" w:cstheme="minorHAnsi"/>
                <w:i/>
                <w:iCs/>
                <w:sz w:val="20"/>
                <w:szCs w:val="20"/>
              </w:rPr>
            </w:pPr>
            <w:r>
              <w:rPr>
                <w:rFonts w:asciiTheme="minorHAnsi" w:hAnsiTheme="minorHAnsi" w:cstheme="minorHAnsi"/>
                <w:i/>
                <w:iCs/>
                <w:sz w:val="20"/>
                <w:szCs w:val="20"/>
              </w:rPr>
              <w:t xml:space="preserve">Source : </w:t>
            </w:r>
            <w:hyperlink r:id="rId24">
              <w:r>
                <w:rPr>
                  <w:rStyle w:val="Lienhypertexte"/>
                  <w:rFonts w:asciiTheme="minorHAnsi" w:hAnsiTheme="minorHAnsi" w:cstheme="minorHAnsi"/>
                  <w:i/>
                  <w:iCs/>
                  <w:sz w:val="20"/>
                  <w:szCs w:val="20"/>
                </w:rPr>
                <w:t>https://www.anpp.fr/</w:t>
              </w:r>
            </w:hyperlink>
            <w:r>
              <w:rPr>
                <w:rFonts w:asciiTheme="minorHAnsi" w:hAnsiTheme="minorHAnsi" w:cstheme="minorHAnsi"/>
                <w:i/>
                <w:iCs/>
                <w:sz w:val="20"/>
                <w:szCs w:val="20"/>
              </w:rPr>
              <w:t xml:space="preserve"> - juillet 2023</w:t>
            </w:r>
          </w:p>
        </w:tc>
      </w:tr>
    </w:tbl>
    <w:p w:rsidR="006917A5" w:rsidRDefault="006917A5">
      <w:pPr>
        <w:jc w:val="both"/>
        <w:rPr>
          <w:rFonts w:asciiTheme="minorHAnsi" w:hAnsiTheme="minorHAnsi" w:cstheme="minorHAnsi"/>
          <w:b/>
          <w:bCs/>
          <w:sz w:val="20"/>
          <w:szCs w:val="20"/>
        </w:rPr>
      </w:pPr>
    </w:p>
    <w:p w:rsidR="006917A5" w:rsidRDefault="006917A5">
      <w:pPr>
        <w:ind w:left="-142"/>
        <w:jc w:val="both"/>
        <w:rPr>
          <w:rFonts w:asciiTheme="minorHAnsi" w:hAnsiTheme="minorHAnsi" w:cstheme="minorHAnsi"/>
          <w:b/>
          <w:color w:val="000000" w:themeColor="text1"/>
          <w:sz w:val="32"/>
          <w:szCs w:val="32"/>
          <w:u w:val="single"/>
        </w:rPr>
      </w:pPr>
    </w:p>
    <w:p w:rsidR="006917A5" w:rsidRDefault="003A2E79">
      <w:pPr>
        <w:ind w:left="-142"/>
        <w:jc w:val="both"/>
        <w:rPr>
          <w:rFonts w:asciiTheme="minorHAnsi" w:hAnsiTheme="minorHAnsi" w:cstheme="minorHAnsi"/>
          <w:b/>
          <w:color w:val="000000" w:themeColor="text1"/>
          <w:sz w:val="32"/>
          <w:szCs w:val="32"/>
          <w:u w:val="single"/>
        </w:rPr>
      </w:pPr>
      <w:r>
        <w:rPr>
          <w:rFonts w:asciiTheme="minorHAnsi" w:hAnsiTheme="minorHAnsi" w:cstheme="minorHAnsi"/>
          <w:b/>
          <w:color w:val="000000" w:themeColor="text1"/>
          <w:sz w:val="32"/>
          <w:szCs w:val="32"/>
          <w:u w:val="single"/>
        </w:rPr>
        <w:t xml:space="preserve">Annexe </w:t>
      </w:r>
      <w:r w:rsidR="008859B4">
        <w:rPr>
          <w:rFonts w:asciiTheme="minorHAnsi" w:hAnsiTheme="minorHAnsi" w:cstheme="minorHAnsi"/>
          <w:b/>
          <w:color w:val="000000" w:themeColor="text1"/>
          <w:sz w:val="32"/>
          <w:szCs w:val="32"/>
          <w:u w:val="single"/>
        </w:rPr>
        <w:t>7</w:t>
      </w:r>
      <w:r>
        <w:rPr>
          <w:rFonts w:asciiTheme="minorHAnsi" w:hAnsiTheme="minorHAnsi" w:cstheme="minorHAnsi"/>
          <w:b/>
          <w:color w:val="000000" w:themeColor="text1"/>
          <w:sz w:val="32"/>
          <w:szCs w:val="32"/>
          <w:u w:val="single"/>
        </w:rPr>
        <w:t> : La politique de santé au niveau territorial (régional et local)</w:t>
      </w:r>
    </w:p>
    <w:tbl>
      <w:tblPr>
        <w:tblStyle w:val="Grilledutableau"/>
        <w:tblpPr w:leftFromText="141" w:rightFromText="141" w:vertAnchor="text" w:horzAnchor="margin" w:tblpY="-116"/>
        <w:tblW w:w="10774" w:type="dxa"/>
        <w:tblLayout w:type="fixed"/>
        <w:tblLook w:val="04A0"/>
      </w:tblPr>
      <w:tblGrid>
        <w:gridCol w:w="8122"/>
        <w:gridCol w:w="2652"/>
      </w:tblGrid>
      <w:tr w:rsidR="006917A5">
        <w:tc>
          <w:tcPr>
            <w:tcW w:w="10774" w:type="dxa"/>
            <w:gridSpan w:val="2"/>
          </w:tcPr>
          <w:p w:rsidR="006917A5" w:rsidRDefault="003A2E79">
            <w:pPr>
              <w:widowControl w:val="0"/>
              <w:jc w:val="both"/>
              <w:rPr>
                <w:rFonts w:ascii="Calibri" w:hAnsi="Calibri"/>
                <w:b/>
                <w:bCs/>
                <w:iCs/>
                <w:u w:val="single"/>
              </w:rPr>
            </w:pPr>
            <w:r>
              <w:rPr>
                <w:rFonts w:ascii="Calibri" w:hAnsi="Calibri"/>
                <w:b/>
                <w:bCs/>
                <w:iCs/>
                <w:u w:val="single"/>
              </w:rPr>
              <w:t>Document 1 : Diagnostic territorial de la santé mentale en</w:t>
            </w:r>
            <w:r>
              <w:rPr>
                <w:rFonts w:ascii="Calibri" w:hAnsi="Calibri"/>
                <w:b/>
                <w:bCs/>
                <w:iCs/>
                <w:u w:val="single"/>
              </w:rPr>
              <w:t xml:space="preserve"> Occitanie : les chiffres clés</w:t>
            </w:r>
          </w:p>
          <w:p w:rsidR="006917A5" w:rsidRDefault="003A2E79">
            <w:pPr>
              <w:widowControl w:val="0"/>
              <w:jc w:val="center"/>
              <w:rPr>
                <w:rFonts w:ascii="Calibri" w:hAnsi="Calibri"/>
                <w:iCs/>
              </w:rPr>
            </w:pPr>
            <w:r>
              <w:rPr>
                <w:noProof/>
              </w:rPr>
              <w:drawing>
                <wp:inline distT="0" distB="0" distL="0" distR="0">
                  <wp:extent cx="6616700" cy="1310640"/>
                  <wp:effectExtent l="0" t="0" r="0" b="0"/>
                  <wp:docPr id="8"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31"/>
                          <pic:cNvPicPr>
                            <a:picLocks noChangeAspect="1" noChangeArrowheads="1"/>
                          </pic:cNvPicPr>
                        </pic:nvPicPr>
                        <pic:blipFill>
                          <a:blip r:embed="rId25"/>
                          <a:stretch>
                            <a:fillRect/>
                          </a:stretch>
                        </pic:blipFill>
                        <pic:spPr bwMode="auto">
                          <a:xfrm>
                            <a:off x="0" y="0"/>
                            <a:ext cx="6616700" cy="1310640"/>
                          </a:xfrm>
                          <a:prstGeom prst="rect">
                            <a:avLst/>
                          </a:prstGeom>
                          <a:noFill/>
                        </pic:spPr>
                      </pic:pic>
                    </a:graphicData>
                  </a:graphic>
                </wp:inline>
              </w:drawing>
            </w:r>
          </w:p>
          <w:p w:rsidR="006917A5" w:rsidRDefault="006917A5">
            <w:pPr>
              <w:widowControl w:val="0"/>
              <w:rPr>
                <w:rFonts w:ascii="Calibri" w:hAnsi="Calibri"/>
                <w:iCs/>
              </w:rPr>
            </w:pPr>
          </w:p>
          <w:p w:rsidR="006917A5" w:rsidRDefault="003A2E79">
            <w:pPr>
              <w:widowControl w:val="0"/>
              <w:rPr>
                <w:rFonts w:ascii="Calibri" w:hAnsi="Calibri"/>
                <w:b/>
                <w:bCs/>
                <w:iCs/>
              </w:rPr>
            </w:pPr>
            <w:r>
              <w:rPr>
                <w:rFonts w:ascii="Calibri" w:hAnsi="Calibri"/>
                <w:b/>
                <w:bCs/>
                <w:iCs/>
              </w:rPr>
              <w:t>Personnes occitanes présentant des épisodes dépressifs caractérisé (EDC)</w:t>
            </w:r>
          </w:p>
          <w:p w:rsidR="006917A5" w:rsidRDefault="003A2E79">
            <w:pPr>
              <w:widowControl w:val="0"/>
              <w:jc w:val="center"/>
              <w:rPr>
                <w:rFonts w:ascii="Calibri" w:hAnsi="Calibri"/>
                <w:iCs/>
              </w:rPr>
            </w:pPr>
            <w:r>
              <w:rPr>
                <w:noProof/>
              </w:rPr>
              <w:drawing>
                <wp:inline distT="0" distB="0" distL="0" distR="0">
                  <wp:extent cx="6704330" cy="2959100"/>
                  <wp:effectExtent l="0" t="0" r="0" b="0"/>
                  <wp:docPr id="9"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32"/>
                          <pic:cNvPicPr>
                            <a:picLocks noChangeAspect="1" noChangeArrowheads="1"/>
                          </pic:cNvPicPr>
                        </pic:nvPicPr>
                        <pic:blipFill>
                          <a:blip r:embed="rId26"/>
                          <a:stretch>
                            <a:fillRect/>
                          </a:stretch>
                        </pic:blipFill>
                        <pic:spPr bwMode="auto">
                          <a:xfrm>
                            <a:off x="0" y="0"/>
                            <a:ext cx="6704330" cy="2959100"/>
                          </a:xfrm>
                          <a:prstGeom prst="rect">
                            <a:avLst/>
                          </a:prstGeom>
                          <a:noFill/>
                        </pic:spPr>
                      </pic:pic>
                    </a:graphicData>
                  </a:graphic>
                </wp:inline>
              </w:drawing>
            </w:r>
          </w:p>
          <w:p w:rsidR="006917A5" w:rsidRDefault="006917A5">
            <w:pPr>
              <w:widowControl w:val="0"/>
              <w:jc w:val="center"/>
              <w:rPr>
                <w:rFonts w:ascii="Calibri" w:hAnsi="Calibri"/>
                <w:iCs/>
              </w:rPr>
            </w:pPr>
          </w:p>
          <w:p w:rsidR="006917A5" w:rsidRDefault="006917A5">
            <w:pPr>
              <w:widowControl w:val="0"/>
              <w:jc w:val="center"/>
              <w:rPr>
                <w:rFonts w:ascii="Calibri" w:hAnsi="Calibri"/>
                <w:iCs/>
              </w:rPr>
            </w:pPr>
          </w:p>
          <w:p w:rsidR="006917A5" w:rsidRDefault="003A2E79">
            <w:pPr>
              <w:widowControl w:val="0"/>
              <w:jc w:val="center"/>
            </w:pPr>
            <w:r>
              <w:rPr>
                <w:noProof/>
              </w:rPr>
              <w:lastRenderedPageBreak/>
              <w:drawing>
                <wp:inline distT="0" distB="0" distL="0" distR="0">
                  <wp:extent cx="5219700" cy="2936240"/>
                  <wp:effectExtent l="0" t="0" r="0" b="0"/>
                  <wp:docPr id="1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8"/>
                          <pic:cNvPicPr>
                            <a:picLocks noChangeAspect="1" noChangeArrowheads="1"/>
                          </pic:cNvPicPr>
                        </pic:nvPicPr>
                        <pic:blipFill>
                          <a:blip r:embed="rId27"/>
                          <a:stretch>
                            <a:fillRect/>
                          </a:stretch>
                        </pic:blipFill>
                        <pic:spPr bwMode="auto">
                          <a:xfrm>
                            <a:off x="0" y="0"/>
                            <a:ext cx="5219700" cy="2936240"/>
                          </a:xfrm>
                          <a:prstGeom prst="rect">
                            <a:avLst/>
                          </a:prstGeom>
                          <a:noFill/>
                        </pic:spPr>
                      </pic:pic>
                    </a:graphicData>
                  </a:graphic>
                </wp:inline>
              </w:drawing>
            </w:r>
          </w:p>
          <w:p w:rsidR="006917A5" w:rsidRDefault="006917A5">
            <w:pPr>
              <w:widowControl w:val="0"/>
            </w:pPr>
          </w:p>
          <w:p w:rsidR="006917A5" w:rsidRDefault="006917A5">
            <w:pPr>
              <w:widowControl w:val="0"/>
            </w:pPr>
          </w:p>
          <w:p w:rsidR="006917A5" w:rsidRDefault="006917A5">
            <w:pPr>
              <w:widowControl w:val="0"/>
            </w:pPr>
          </w:p>
          <w:p w:rsidR="006917A5" w:rsidRDefault="006917A5">
            <w:pPr>
              <w:widowControl w:val="0"/>
            </w:pPr>
          </w:p>
          <w:p w:rsidR="006917A5" w:rsidRDefault="006917A5">
            <w:pPr>
              <w:widowControl w:val="0"/>
            </w:pPr>
          </w:p>
          <w:p w:rsidR="006917A5" w:rsidRDefault="006917A5">
            <w:pPr>
              <w:widowControl w:val="0"/>
            </w:pPr>
          </w:p>
          <w:p w:rsidR="006917A5" w:rsidRDefault="006917A5">
            <w:pPr>
              <w:widowControl w:val="0"/>
            </w:pPr>
          </w:p>
          <w:p w:rsidR="006917A5" w:rsidRDefault="006917A5">
            <w:pPr>
              <w:widowControl w:val="0"/>
            </w:pPr>
          </w:p>
          <w:p w:rsidR="006917A5" w:rsidRDefault="006917A5">
            <w:pPr>
              <w:widowControl w:val="0"/>
            </w:pPr>
          </w:p>
          <w:p w:rsidR="006917A5" w:rsidRDefault="003A2E79">
            <w:pPr>
              <w:widowControl w:val="0"/>
            </w:pPr>
            <w:r>
              <w:rPr>
                <w:noProof/>
              </w:rPr>
              <w:drawing>
                <wp:inline distT="0" distB="0" distL="0" distR="0">
                  <wp:extent cx="6704330" cy="780415"/>
                  <wp:effectExtent l="0" t="0" r="0" b="0"/>
                  <wp:docPr id="1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23"/>
                          <pic:cNvPicPr>
                            <a:picLocks noChangeAspect="1" noChangeArrowheads="1"/>
                          </pic:cNvPicPr>
                        </pic:nvPicPr>
                        <pic:blipFill>
                          <a:blip r:embed="rId28"/>
                          <a:stretch>
                            <a:fillRect/>
                          </a:stretch>
                        </pic:blipFill>
                        <pic:spPr bwMode="auto">
                          <a:xfrm>
                            <a:off x="0" y="0"/>
                            <a:ext cx="6704330" cy="780415"/>
                          </a:xfrm>
                          <a:prstGeom prst="rect">
                            <a:avLst/>
                          </a:prstGeom>
                          <a:noFill/>
                        </pic:spPr>
                      </pic:pic>
                    </a:graphicData>
                  </a:graphic>
                </wp:inline>
              </w:drawing>
            </w:r>
          </w:p>
          <w:p w:rsidR="006917A5" w:rsidRDefault="006917A5">
            <w:pPr>
              <w:widowControl w:val="0"/>
            </w:pPr>
          </w:p>
          <w:p w:rsidR="006917A5" w:rsidRDefault="003A2E79">
            <w:pPr>
              <w:widowControl w:val="0"/>
              <w:jc w:val="center"/>
              <w:rPr>
                <w:rFonts w:ascii="Calibri" w:hAnsi="Calibri"/>
                <w:iCs/>
              </w:rPr>
            </w:pPr>
            <w:r>
              <w:rPr>
                <w:noProof/>
              </w:rPr>
              <w:drawing>
                <wp:inline distT="0" distB="0" distL="0" distR="0">
                  <wp:extent cx="1014730" cy="1885950"/>
                  <wp:effectExtent l="0" t="0" r="0" b="0"/>
                  <wp:docPr id="12"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24"/>
                          <pic:cNvPicPr>
                            <a:picLocks noChangeAspect="1" noChangeArrowheads="1"/>
                          </pic:cNvPicPr>
                        </pic:nvPicPr>
                        <pic:blipFill>
                          <a:blip r:embed="rId29"/>
                          <a:stretch>
                            <a:fillRect/>
                          </a:stretch>
                        </pic:blipFill>
                        <pic:spPr bwMode="auto">
                          <a:xfrm>
                            <a:off x="0" y="0"/>
                            <a:ext cx="1014730" cy="1885950"/>
                          </a:xfrm>
                          <a:prstGeom prst="rect">
                            <a:avLst/>
                          </a:prstGeom>
                          <a:noFill/>
                        </pic:spPr>
                      </pic:pic>
                    </a:graphicData>
                  </a:graphic>
                </wp:inline>
              </w:drawing>
            </w:r>
            <w:r>
              <w:rPr>
                <w:noProof/>
              </w:rPr>
              <w:drawing>
                <wp:inline distT="0" distB="0" distL="0" distR="0">
                  <wp:extent cx="1987550" cy="1987550"/>
                  <wp:effectExtent l="0" t="0" r="0" b="0"/>
                  <wp:docPr id="13"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26"/>
                          <pic:cNvPicPr>
                            <a:picLocks noChangeAspect="1" noChangeArrowheads="1"/>
                          </pic:cNvPicPr>
                        </pic:nvPicPr>
                        <pic:blipFill>
                          <a:blip r:embed="rId30"/>
                          <a:stretch>
                            <a:fillRect/>
                          </a:stretch>
                        </pic:blipFill>
                        <pic:spPr bwMode="auto">
                          <a:xfrm>
                            <a:off x="0" y="0"/>
                            <a:ext cx="1987550" cy="1987550"/>
                          </a:xfrm>
                          <a:prstGeom prst="rect">
                            <a:avLst/>
                          </a:prstGeom>
                          <a:noFill/>
                        </pic:spPr>
                      </pic:pic>
                    </a:graphicData>
                  </a:graphic>
                </wp:inline>
              </w:drawing>
            </w:r>
          </w:p>
          <w:p w:rsidR="006917A5" w:rsidRDefault="006917A5">
            <w:pPr>
              <w:widowControl w:val="0"/>
              <w:jc w:val="right"/>
              <w:rPr>
                <w:rFonts w:ascii="Calibri" w:hAnsi="Calibri"/>
                <w:i/>
                <w:sz w:val="20"/>
                <w:szCs w:val="20"/>
                <w:u w:val="single"/>
              </w:rPr>
            </w:pPr>
          </w:p>
          <w:p w:rsidR="006917A5" w:rsidRDefault="003A2E79">
            <w:pPr>
              <w:widowControl w:val="0"/>
              <w:jc w:val="right"/>
              <w:rPr>
                <w:rFonts w:ascii="Calibri" w:hAnsi="Calibri"/>
                <w:i/>
                <w:sz w:val="20"/>
                <w:szCs w:val="20"/>
                <w:u w:val="single"/>
              </w:rPr>
            </w:pPr>
            <w:r>
              <w:rPr>
                <w:rFonts w:ascii="Calibri" w:hAnsi="Calibri"/>
                <w:i/>
                <w:sz w:val="20"/>
                <w:szCs w:val="20"/>
                <w:u w:val="single"/>
              </w:rPr>
              <w:t>https://www.anfh.fr/sites/default/files/fichiers/e_dellapina_journee_anfh-ferrepsy_20260414_1.pdf</w:t>
            </w:r>
          </w:p>
        </w:tc>
      </w:tr>
      <w:tr w:rsidR="006917A5">
        <w:tc>
          <w:tcPr>
            <w:tcW w:w="8122" w:type="dxa"/>
          </w:tcPr>
          <w:p w:rsidR="006917A5" w:rsidRDefault="003A2E79">
            <w:pPr>
              <w:widowControl w:val="0"/>
              <w:jc w:val="both"/>
              <w:rPr>
                <w:rFonts w:asciiTheme="minorHAnsi" w:hAnsiTheme="minorHAnsi" w:cstheme="minorHAnsi"/>
                <w:b/>
                <w:bCs/>
                <w:u w:val="single"/>
              </w:rPr>
            </w:pPr>
            <w:r>
              <w:rPr>
                <w:rFonts w:asciiTheme="minorHAnsi" w:hAnsiTheme="minorHAnsi" w:cstheme="minorHAnsi"/>
                <w:b/>
                <w:color w:val="000000" w:themeColor="text1"/>
                <w:u w:val="single"/>
              </w:rPr>
              <w:lastRenderedPageBreak/>
              <w:t>Document 2</w:t>
            </w:r>
            <w:r>
              <w:rPr>
                <w:rFonts w:ascii="Calibri" w:hAnsi="Calibri"/>
                <w:b/>
                <w:bCs/>
                <w:iCs/>
                <w:u w:val="single"/>
              </w:rPr>
              <w:t>:</w:t>
            </w:r>
            <w:r>
              <w:rPr>
                <w:rFonts w:asciiTheme="minorHAnsi" w:hAnsiTheme="minorHAnsi" w:cstheme="minorHAnsi"/>
                <w:b/>
                <w:bCs/>
                <w:u w:val="single"/>
              </w:rPr>
              <w:t xml:space="preserve">Présentation de </w:t>
            </w:r>
            <w:r>
              <w:rPr>
                <w:rFonts w:asciiTheme="minorHAnsi" w:hAnsiTheme="minorHAnsi" w:cstheme="minorHAnsi"/>
                <w:b/>
                <w:bCs/>
                <w:u w:val="single"/>
              </w:rPr>
              <w:t>l’ARS</w:t>
            </w:r>
          </w:p>
          <w:p w:rsidR="006917A5" w:rsidRDefault="003A2E79">
            <w:pPr>
              <w:widowControl w:val="0"/>
              <w:jc w:val="both"/>
              <w:rPr>
                <w:rFonts w:asciiTheme="minorHAnsi" w:hAnsiTheme="minorHAnsi" w:cstheme="minorHAnsi"/>
                <w:i/>
                <w:sz w:val="20"/>
                <w:szCs w:val="20"/>
              </w:rPr>
            </w:pPr>
            <w:r>
              <w:rPr>
                <w:noProof/>
              </w:rPr>
              <w:drawing>
                <wp:inline distT="0" distB="0" distL="0" distR="0">
                  <wp:extent cx="1733550" cy="1096645"/>
                  <wp:effectExtent l="0" t="0" r="0" b="0"/>
                  <wp:docPr id="14"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30"/>
                          <pic:cNvPicPr>
                            <a:picLocks noChangeAspect="1" noChangeArrowheads="1"/>
                          </pic:cNvPicPr>
                        </pic:nvPicPr>
                        <pic:blipFill>
                          <a:blip r:embed="rId31"/>
                          <a:stretch>
                            <a:fillRect/>
                          </a:stretch>
                        </pic:blipFill>
                        <pic:spPr bwMode="auto">
                          <a:xfrm>
                            <a:off x="0" y="0"/>
                            <a:ext cx="1733550" cy="1096645"/>
                          </a:xfrm>
                          <a:prstGeom prst="rect">
                            <a:avLst/>
                          </a:prstGeom>
                          <a:noFill/>
                        </pic:spPr>
                      </pic:pic>
                    </a:graphicData>
                  </a:graphic>
                </wp:inline>
              </w:drawing>
            </w:r>
          </w:p>
          <w:p w:rsidR="006917A5" w:rsidRDefault="003A2E79">
            <w:pPr>
              <w:widowControl w:val="0"/>
              <w:jc w:val="right"/>
              <w:rPr>
                <w:rFonts w:asciiTheme="minorHAnsi" w:hAnsiTheme="minorHAnsi" w:cstheme="minorHAnsi"/>
                <w:i/>
                <w:sz w:val="20"/>
                <w:szCs w:val="20"/>
              </w:rPr>
            </w:pPr>
            <w:r>
              <w:rPr>
                <w:rFonts w:asciiTheme="minorHAnsi" w:hAnsiTheme="minorHAnsi" w:cstheme="minorHAnsi"/>
                <w:i/>
                <w:sz w:val="20"/>
                <w:szCs w:val="20"/>
              </w:rPr>
              <w:t xml:space="preserve">Source : </w:t>
            </w:r>
            <w:hyperlink r:id="rId32">
              <w:r>
                <w:rPr>
                  <w:rFonts w:asciiTheme="minorHAnsi" w:hAnsiTheme="minorHAnsi" w:cstheme="minorHAnsi"/>
                  <w:i/>
                  <w:sz w:val="20"/>
                  <w:szCs w:val="20"/>
                </w:rPr>
                <w:t>https://www.iledefrance.ars.sante.fr/</w:t>
              </w:r>
            </w:hyperlink>
            <w:r>
              <w:rPr>
                <w:rFonts w:asciiTheme="minorHAnsi" w:hAnsiTheme="minorHAnsi" w:cstheme="minorHAnsi"/>
                <w:i/>
                <w:sz w:val="20"/>
                <w:szCs w:val="20"/>
              </w:rPr>
              <w:t xml:space="preserve"> - 3 septembre 2019</w:t>
            </w:r>
          </w:p>
        </w:tc>
        <w:tc>
          <w:tcPr>
            <w:tcW w:w="2652" w:type="dxa"/>
          </w:tcPr>
          <w:p w:rsidR="006917A5" w:rsidRDefault="003A2E79">
            <w:pPr>
              <w:widowControl w:val="0"/>
              <w:jc w:val="both"/>
              <w:rPr>
                <w:rFonts w:asciiTheme="minorHAnsi" w:hAnsiTheme="minorHAnsi" w:cstheme="minorHAnsi"/>
                <w:b/>
                <w:color w:val="000000" w:themeColor="text1"/>
              </w:rPr>
            </w:pPr>
            <w:r>
              <w:rPr>
                <w:noProof/>
              </w:rPr>
              <w:drawing>
                <wp:inline distT="0" distB="0" distL="0" distR="0">
                  <wp:extent cx="1266825" cy="1266825"/>
                  <wp:effectExtent l="0" t="0" r="0" b="0"/>
                  <wp:docPr id="15"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81"/>
                          <pic:cNvPicPr>
                            <a:picLocks noChangeAspect="1" noChangeArrowheads="1"/>
                          </pic:cNvPicPr>
                        </pic:nvPicPr>
                        <pic:blipFill>
                          <a:blip r:embed="rId33"/>
                          <a:stretch>
                            <a:fillRect/>
                          </a:stretch>
                        </pic:blipFill>
                        <pic:spPr bwMode="auto">
                          <a:xfrm>
                            <a:off x="0" y="0"/>
                            <a:ext cx="1266825" cy="1266825"/>
                          </a:xfrm>
                          <a:prstGeom prst="rect">
                            <a:avLst/>
                          </a:prstGeom>
                          <a:noFill/>
                        </pic:spPr>
                      </pic:pic>
                    </a:graphicData>
                  </a:graphic>
                </wp:inline>
              </w:drawing>
            </w:r>
          </w:p>
        </w:tc>
      </w:tr>
      <w:tr w:rsidR="006917A5">
        <w:tc>
          <w:tcPr>
            <w:tcW w:w="8122" w:type="dxa"/>
          </w:tcPr>
          <w:p w:rsidR="006917A5" w:rsidRDefault="003A2E79">
            <w:pPr>
              <w:pStyle w:val="Listecouleur-Accent11"/>
              <w:widowControl w:val="0"/>
              <w:ind w:left="0"/>
              <w:rPr>
                <w:rFonts w:ascii="Calibri" w:hAnsi="Calibri"/>
                <w:b/>
                <w:u w:val="single"/>
              </w:rPr>
            </w:pPr>
            <w:r>
              <w:rPr>
                <w:rFonts w:ascii="Calibri" w:hAnsi="Calibri"/>
                <w:b/>
                <w:bCs/>
                <w:iCs/>
                <w:u w:val="single"/>
              </w:rPr>
              <w:lastRenderedPageBreak/>
              <w:t xml:space="preserve">Document 3 : </w:t>
            </w:r>
            <w:r>
              <w:rPr>
                <w:rFonts w:ascii="Calibri" w:hAnsi="Calibri"/>
                <w:b/>
                <w:u w:val="single"/>
              </w:rPr>
              <w:t>Présentation du Projet Régional de Santé</w:t>
            </w:r>
          </w:p>
          <w:p w:rsidR="006917A5" w:rsidRDefault="006917A5">
            <w:pPr>
              <w:widowControl w:val="0"/>
            </w:pPr>
          </w:p>
          <w:p w:rsidR="006917A5" w:rsidRDefault="003A2E79">
            <w:pPr>
              <w:widowControl w:val="0"/>
              <w:rPr>
                <w:rFonts w:asciiTheme="minorHAnsi" w:hAnsiTheme="minorHAnsi" w:cstheme="minorHAnsi"/>
                <w:i/>
                <w:sz w:val="20"/>
              </w:rPr>
            </w:pPr>
            <w:r>
              <w:rPr>
                <w:noProof/>
              </w:rPr>
              <w:drawing>
                <wp:inline distT="0" distB="0" distL="0" distR="0">
                  <wp:extent cx="2505075" cy="1353185"/>
                  <wp:effectExtent l="0" t="0" r="0" b="0"/>
                  <wp:docPr id="16"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
                          <pic:cNvPicPr>
                            <a:picLocks noChangeAspect="1" noChangeArrowheads="1"/>
                          </pic:cNvPicPr>
                        </pic:nvPicPr>
                        <pic:blipFill>
                          <a:blip r:embed="rId34" cstate="print"/>
                          <a:stretch>
                            <a:fillRect/>
                          </a:stretch>
                        </pic:blipFill>
                        <pic:spPr bwMode="auto">
                          <a:xfrm>
                            <a:off x="0" y="0"/>
                            <a:ext cx="2505075" cy="1353185"/>
                          </a:xfrm>
                          <a:prstGeom prst="rect">
                            <a:avLst/>
                          </a:prstGeom>
                          <a:noFill/>
                        </pic:spPr>
                      </pic:pic>
                    </a:graphicData>
                  </a:graphic>
                </wp:inline>
              </w:drawing>
            </w:r>
          </w:p>
          <w:p w:rsidR="006917A5" w:rsidRDefault="003A2E79">
            <w:pPr>
              <w:widowControl w:val="0"/>
              <w:jc w:val="right"/>
              <w:rPr>
                <w:rFonts w:asciiTheme="minorHAnsi" w:hAnsiTheme="minorHAnsi" w:cstheme="minorHAnsi"/>
                <w:b/>
                <w:color w:val="000000" w:themeColor="text1"/>
              </w:rPr>
            </w:pPr>
            <w:r>
              <w:rPr>
                <w:rFonts w:asciiTheme="minorHAnsi" w:hAnsiTheme="minorHAnsi" w:cstheme="minorHAnsi"/>
                <w:i/>
                <w:sz w:val="20"/>
              </w:rPr>
              <w:t>Source :</w:t>
            </w:r>
            <w:hyperlink r:id="rId35">
              <w:r>
                <w:rPr>
                  <w:rFonts w:asciiTheme="minorHAnsi" w:hAnsiTheme="minorHAnsi" w:cstheme="minorHAnsi"/>
                  <w:i/>
                  <w:sz w:val="20"/>
                </w:rPr>
                <w:t>https://prs.occitanie-sante.fr/</w:t>
              </w:r>
            </w:hyperlink>
          </w:p>
          <w:p w:rsidR="006917A5" w:rsidRDefault="006917A5">
            <w:pPr>
              <w:widowControl w:val="0"/>
              <w:jc w:val="both"/>
              <w:rPr>
                <w:rFonts w:asciiTheme="minorHAnsi" w:hAnsiTheme="minorHAnsi" w:cstheme="minorHAnsi"/>
                <w:b/>
                <w:color w:val="000000" w:themeColor="text1"/>
                <w:u w:val="single"/>
              </w:rPr>
            </w:pPr>
          </w:p>
          <w:p w:rsidR="006917A5" w:rsidRDefault="003A2E79">
            <w:pPr>
              <w:widowControl w:val="0"/>
              <w:jc w:val="both"/>
              <w:rPr>
                <w:rFonts w:asciiTheme="minorHAnsi" w:hAnsiTheme="minorHAnsi" w:cstheme="minorHAnsi"/>
                <w:b/>
                <w:color w:val="000000" w:themeColor="text1"/>
                <w:u w:val="single"/>
              </w:rPr>
            </w:pPr>
            <w:r>
              <w:rPr>
                <w:rFonts w:asciiTheme="minorHAnsi" w:hAnsiTheme="minorHAnsi" w:cstheme="minorHAnsi"/>
                <w:b/>
                <w:color w:val="000000" w:themeColor="text1"/>
                <w:u w:val="single"/>
              </w:rPr>
              <w:t>Document 4 : Le parcours santé mentale dans la région Occitanie - 2022</w:t>
            </w:r>
          </w:p>
          <w:p w:rsidR="006917A5" w:rsidRDefault="006917A5">
            <w:pPr>
              <w:widowControl w:val="0"/>
              <w:jc w:val="both"/>
              <w:rPr>
                <w:rFonts w:asciiTheme="minorHAnsi" w:hAnsiTheme="minorHAnsi" w:cstheme="minorHAnsi"/>
                <w:b/>
                <w:color w:val="000000" w:themeColor="text1"/>
                <w:u w:val="single"/>
              </w:rPr>
            </w:pPr>
          </w:p>
          <w:p w:rsidR="006917A5" w:rsidRDefault="003A2E79">
            <w:pPr>
              <w:widowControl w:val="0"/>
              <w:jc w:val="center"/>
              <w:rPr>
                <w:rFonts w:asciiTheme="minorHAnsi" w:hAnsiTheme="minorHAnsi" w:cstheme="minorHAnsi"/>
                <w:b/>
                <w:color w:val="000000" w:themeColor="text1"/>
                <w:u w:val="single"/>
              </w:rPr>
            </w:pPr>
            <w:r>
              <w:rPr>
                <w:noProof/>
              </w:rPr>
              <w:drawing>
                <wp:inline distT="0" distB="0" distL="0" distR="0">
                  <wp:extent cx="5020310" cy="1140460"/>
                  <wp:effectExtent l="0" t="0" r="0" b="0"/>
                  <wp:docPr id="17"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3"/>
                          <pic:cNvPicPr>
                            <a:picLocks noChangeAspect="1" noChangeArrowheads="1"/>
                          </pic:cNvPicPr>
                        </pic:nvPicPr>
                        <pic:blipFill>
                          <a:blip r:embed="rId36"/>
                          <a:stretch>
                            <a:fillRect/>
                          </a:stretch>
                        </pic:blipFill>
                        <pic:spPr bwMode="auto">
                          <a:xfrm>
                            <a:off x="0" y="0"/>
                            <a:ext cx="5020310" cy="1140460"/>
                          </a:xfrm>
                          <a:prstGeom prst="rect">
                            <a:avLst/>
                          </a:prstGeom>
                          <a:noFill/>
                        </pic:spPr>
                      </pic:pic>
                    </a:graphicData>
                  </a:graphic>
                </wp:inline>
              </w:drawing>
            </w:r>
          </w:p>
          <w:p w:rsidR="006917A5" w:rsidRDefault="003A2E79">
            <w:pPr>
              <w:widowControl w:val="0"/>
              <w:jc w:val="right"/>
              <w:rPr>
                <w:rFonts w:asciiTheme="minorHAnsi" w:hAnsiTheme="minorHAnsi" w:cstheme="minorHAnsi"/>
                <w:bCs/>
                <w:i/>
                <w:iCs/>
                <w:color w:val="000000" w:themeColor="text1"/>
                <w:sz w:val="20"/>
                <w:szCs w:val="20"/>
                <w:u w:val="single"/>
              </w:rPr>
            </w:pPr>
            <w:r>
              <w:rPr>
                <w:rFonts w:asciiTheme="minorHAnsi" w:hAnsiTheme="minorHAnsi" w:cstheme="minorHAnsi"/>
                <w:bCs/>
                <w:i/>
                <w:iCs/>
                <w:color w:val="000000" w:themeColor="text1"/>
                <w:sz w:val="20"/>
                <w:szCs w:val="20"/>
                <w:u w:val="single"/>
              </w:rPr>
              <w:t>https://www.ptsm31.org/wp-content/uploads/2019/08/Parcours-sant%C3%A9-mentale-PRS-SRS-Occitanie-2022.pdf</w:t>
            </w:r>
          </w:p>
          <w:p w:rsidR="006917A5" w:rsidRDefault="006917A5">
            <w:pPr>
              <w:widowControl w:val="0"/>
              <w:jc w:val="both"/>
              <w:rPr>
                <w:rFonts w:asciiTheme="minorHAnsi" w:hAnsiTheme="minorHAnsi" w:cstheme="minorHAnsi"/>
                <w:b/>
                <w:i/>
                <w:iCs/>
                <w:color w:val="000000" w:themeColor="text1"/>
                <w:u w:val="single"/>
              </w:rPr>
            </w:pPr>
          </w:p>
          <w:p w:rsidR="006917A5" w:rsidRDefault="003A2E79">
            <w:pPr>
              <w:widowControl w:val="0"/>
              <w:jc w:val="both"/>
              <w:rPr>
                <w:rFonts w:asciiTheme="minorHAnsi" w:hAnsiTheme="minorHAnsi" w:cstheme="minorHAnsi"/>
                <w:b/>
                <w:i/>
                <w:iCs/>
                <w:color w:val="000000" w:themeColor="text1"/>
                <w:u w:val="single"/>
              </w:rPr>
            </w:pPr>
            <w:r>
              <w:rPr>
                <w:rFonts w:asciiTheme="minorHAnsi" w:hAnsiTheme="minorHAnsi" w:cstheme="minorHAnsi"/>
                <w:b/>
                <w:i/>
                <w:iCs/>
                <w:color w:val="000000" w:themeColor="text1"/>
                <w:u w:val="single"/>
              </w:rPr>
              <w:t>Consulter les pages 2 et 3</w:t>
            </w:r>
          </w:p>
          <w:p w:rsidR="006917A5" w:rsidRDefault="006917A5">
            <w:pPr>
              <w:widowControl w:val="0"/>
              <w:jc w:val="both"/>
              <w:rPr>
                <w:rFonts w:asciiTheme="minorHAnsi" w:hAnsiTheme="minorHAnsi" w:cstheme="minorHAnsi"/>
                <w:b/>
                <w:i/>
                <w:iCs/>
                <w:color w:val="000000" w:themeColor="text1"/>
                <w:u w:val="single"/>
              </w:rPr>
            </w:pPr>
          </w:p>
        </w:tc>
        <w:tc>
          <w:tcPr>
            <w:tcW w:w="2652" w:type="dxa"/>
          </w:tcPr>
          <w:p w:rsidR="006917A5" w:rsidRDefault="003A2E79">
            <w:pPr>
              <w:widowControl w:val="0"/>
              <w:jc w:val="both"/>
              <w:rPr>
                <w:rFonts w:asciiTheme="minorHAnsi" w:hAnsiTheme="minorHAnsi" w:cstheme="minorHAnsi"/>
                <w:b/>
                <w:color w:val="000000" w:themeColor="text1"/>
              </w:rPr>
            </w:pPr>
            <w:r>
              <w:rPr>
                <w:noProof/>
              </w:rPr>
              <w:drawing>
                <wp:inline distT="0" distB="0" distL="0" distR="0">
                  <wp:extent cx="1510030" cy="1510030"/>
                  <wp:effectExtent l="0" t="0" r="0" b="0"/>
                  <wp:docPr id="18"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2"/>
                          <pic:cNvPicPr>
                            <a:picLocks noChangeAspect="1" noChangeArrowheads="1"/>
                          </pic:cNvPicPr>
                        </pic:nvPicPr>
                        <pic:blipFill>
                          <a:blip r:embed="rId37"/>
                          <a:stretch>
                            <a:fillRect/>
                          </a:stretch>
                        </pic:blipFill>
                        <pic:spPr bwMode="auto">
                          <a:xfrm>
                            <a:off x="0" y="0"/>
                            <a:ext cx="1510030" cy="1510030"/>
                          </a:xfrm>
                          <a:prstGeom prst="rect">
                            <a:avLst/>
                          </a:prstGeom>
                          <a:noFill/>
                        </pic:spPr>
                      </pic:pic>
                    </a:graphicData>
                  </a:graphic>
                </wp:inline>
              </w:drawing>
            </w:r>
          </w:p>
          <w:p w:rsidR="006917A5" w:rsidRDefault="006917A5">
            <w:pPr>
              <w:widowControl w:val="0"/>
              <w:jc w:val="both"/>
              <w:rPr>
                <w:rFonts w:asciiTheme="minorHAnsi" w:hAnsiTheme="minorHAnsi" w:cstheme="minorHAnsi"/>
                <w:b/>
                <w:color w:val="000000" w:themeColor="text1"/>
              </w:rPr>
            </w:pPr>
          </w:p>
          <w:p w:rsidR="006917A5" w:rsidRDefault="006917A5">
            <w:pPr>
              <w:widowControl w:val="0"/>
              <w:jc w:val="both"/>
              <w:rPr>
                <w:rFonts w:asciiTheme="minorHAnsi" w:hAnsiTheme="minorHAnsi" w:cstheme="minorHAnsi"/>
                <w:b/>
                <w:color w:val="000000" w:themeColor="text1"/>
              </w:rPr>
            </w:pPr>
          </w:p>
          <w:p w:rsidR="006917A5" w:rsidRDefault="006917A5">
            <w:pPr>
              <w:widowControl w:val="0"/>
              <w:jc w:val="both"/>
              <w:rPr>
                <w:rFonts w:asciiTheme="minorHAnsi" w:hAnsiTheme="minorHAnsi" w:cstheme="minorHAnsi"/>
                <w:b/>
                <w:color w:val="000000" w:themeColor="text1"/>
              </w:rPr>
            </w:pPr>
          </w:p>
          <w:p w:rsidR="006917A5" w:rsidRDefault="00B64652">
            <w:pPr>
              <w:pStyle w:val="NormalWeb"/>
              <w:jc w:val="center"/>
            </w:pPr>
            <w:r>
              <w:rPr>
                <w:noProof/>
              </w:rPr>
              <w:pict>
                <v:rect id="_x0000_s1028" style="position:absolute;left:0;text-align:left;margin-left:0;margin-top:0;width:23.95pt;height:23.95pt;z-index:251658752;mso-wrap-style:none;mso-position-vertical:top;v-text-anchor:middle" o:allowincell="f" filled="f" stroked="f" strokecolor="#3465a4">
                  <v:fill o:detectmouseclick="t"/>
                  <v:stroke joinstyle="round"/>
                  <w10:wrap type="square"/>
                </v:rect>
              </w:pict>
            </w:r>
            <w:r w:rsidR="003A2E79">
              <w:rPr>
                <w:noProof/>
              </w:rPr>
              <w:drawing>
                <wp:inline distT="0" distB="0" distL="0" distR="0">
                  <wp:extent cx="1273810" cy="1273810"/>
                  <wp:effectExtent l="0" t="0" r="0" b="0"/>
                  <wp:docPr id="2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7"/>
                          <pic:cNvPicPr>
                            <a:picLocks noChangeAspect="1" noChangeArrowheads="1"/>
                          </pic:cNvPicPr>
                        </pic:nvPicPr>
                        <pic:blipFill>
                          <a:blip r:embed="rId38" cstate="print"/>
                          <a:stretch>
                            <a:fillRect/>
                          </a:stretch>
                        </pic:blipFill>
                        <pic:spPr bwMode="auto">
                          <a:xfrm>
                            <a:off x="0" y="0"/>
                            <a:ext cx="1273810" cy="1273810"/>
                          </a:xfrm>
                          <a:prstGeom prst="rect">
                            <a:avLst/>
                          </a:prstGeom>
                          <a:noFill/>
                        </pic:spPr>
                      </pic:pic>
                    </a:graphicData>
                  </a:graphic>
                </wp:inline>
              </w:drawing>
            </w:r>
          </w:p>
          <w:p w:rsidR="006917A5" w:rsidRDefault="006917A5">
            <w:pPr>
              <w:widowControl w:val="0"/>
              <w:jc w:val="both"/>
              <w:rPr>
                <w:rFonts w:asciiTheme="minorHAnsi" w:hAnsiTheme="minorHAnsi" w:cstheme="minorHAnsi"/>
                <w:b/>
                <w:color w:val="000000" w:themeColor="text1"/>
              </w:rPr>
            </w:pPr>
          </w:p>
        </w:tc>
      </w:tr>
      <w:tr w:rsidR="006917A5">
        <w:tc>
          <w:tcPr>
            <w:tcW w:w="8122" w:type="dxa"/>
          </w:tcPr>
          <w:p w:rsidR="006917A5" w:rsidRDefault="003A2E79">
            <w:pPr>
              <w:widowControl w:val="0"/>
              <w:rPr>
                <w:rFonts w:asciiTheme="minorHAnsi" w:hAnsiTheme="minorHAnsi" w:cstheme="minorHAnsi"/>
                <w:b/>
                <w:bCs/>
                <w:u w:val="single"/>
              </w:rPr>
            </w:pPr>
            <w:r>
              <w:rPr>
                <w:rFonts w:asciiTheme="minorHAnsi" w:hAnsiTheme="minorHAnsi" w:cstheme="minorHAnsi"/>
                <w:b/>
                <w:bCs/>
                <w:u w:val="single"/>
              </w:rPr>
              <w:t>Document 5: Présentation des contrats locaux de santé</w:t>
            </w:r>
          </w:p>
          <w:p w:rsidR="006917A5" w:rsidRDefault="006917A5">
            <w:pPr>
              <w:pStyle w:val="Listecouleur-Accent11"/>
              <w:widowControl w:val="0"/>
              <w:ind w:left="0"/>
              <w:rPr>
                <w:rFonts w:ascii="Calibri" w:hAnsi="Calibri"/>
                <w:b/>
                <w:bCs/>
                <w:iCs/>
                <w:u w:val="single"/>
              </w:rPr>
            </w:pPr>
          </w:p>
          <w:p w:rsidR="006917A5" w:rsidRDefault="003A2E79">
            <w:pPr>
              <w:pStyle w:val="Listecouleur-Accent11"/>
              <w:widowControl w:val="0"/>
              <w:ind w:left="0"/>
              <w:jc w:val="center"/>
              <w:rPr>
                <w:rFonts w:ascii="Calibri" w:hAnsi="Calibri"/>
                <w:b/>
                <w:bCs/>
                <w:iCs/>
                <w:u w:val="single"/>
              </w:rPr>
            </w:pPr>
            <w:r>
              <w:rPr>
                <w:noProof/>
              </w:rPr>
              <w:drawing>
                <wp:inline distT="0" distB="0" distL="0" distR="0">
                  <wp:extent cx="1726565" cy="1644015"/>
                  <wp:effectExtent l="0" t="0" r="0" b="0"/>
                  <wp:docPr id="21"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9"/>
                          <pic:cNvPicPr>
                            <a:picLocks noChangeAspect="1" noChangeArrowheads="1"/>
                          </pic:cNvPicPr>
                        </pic:nvPicPr>
                        <pic:blipFill>
                          <a:blip r:embed="rId39" cstate="print"/>
                          <a:stretch>
                            <a:fillRect/>
                          </a:stretch>
                        </pic:blipFill>
                        <pic:spPr bwMode="auto">
                          <a:xfrm>
                            <a:off x="0" y="0"/>
                            <a:ext cx="1726565" cy="1644015"/>
                          </a:xfrm>
                          <a:prstGeom prst="rect">
                            <a:avLst/>
                          </a:prstGeom>
                          <a:noFill/>
                        </pic:spPr>
                      </pic:pic>
                    </a:graphicData>
                  </a:graphic>
                </wp:inline>
              </w:drawing>
            </w:r>
          </w:p>
          <w:p w:rsidR="006917A5" w:rsidRDefault="003A2E79">
            <w:pPr>
              <w:pStyle w:val="Listecouleur-Accent11"/>
              <w:widowControl w:val="0"/>
              <w:ind w:left="0"/>
              <w:jc w:val="right"/>
              <w:rPr>
                <w:rFonts w:ascii="Calibri" w:hAnsi="Calibri"/>
                <w:b/>
                <w:bCs/>
                <w:i/>
                <w:sz w:val="20"/>
                <w:szCs w:val="20"/>
              </w:rPr>
            </w:pPr>
            <w:r>
              <w:rPr>
                <w:rFonts w:ascii="Calibri" w:hAnsi="Calibri"/>
                <w:b/>
                <w:bCs/>
                <w:i/>
                <w:sz w:val="20"/>
                <w:szCs w:val="20"/>
              </w:rPr>
              <w:t>https://www.occitanie.ars.sante.fr/contrats-locaux-de-sante-13</w:t>
            </w:r>
          </w:p>
        </w:tc>
        <w:tc>
          <w:tcPr>
            <w:tcW w:w="2652" w:type="dxa"/>
          </w:tcPr>
          <w:p w:rsidR="006917A5" w:rsidRDefault="003A2E79">
            <w:pPr>
              <w:widowControl w:val="0"/>
              <w:jc w:val="center"/>
            </w:pPr>
            <w:r>
              <w:rPr>
                <w:noProof/>
              </w:rPr>
              <w:drawing>
                <wp:inline distT="0" distB="0" distL="0" distR="0">
                  <wp:extent cx="1546860" cy="1546860"/>
                  <wp:effectExtent l="0" t="0" r="0" b="0"/>
                  <wp:docPr id="22"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8"/>
                          <pic:cNvPicPr>
                            <a:picLocks noChangeAspect="1" noChangeArrowheads="1"/>
                          </pic:cNvPicPr>
                        </pic:nvPicPr>
                        <pic:blipFill>
                          <a:blip r:embed="rId40"/>
                          <a:stretch>
                            <a:fillRect/>
                          </a:stretch>
                        </pic:blipFill>
                        <pic:spPr bwMode="auto">
                          <a:xfrm>
                            <a:off x="0" y="0"/>
                            <a:ext cx="1546860" cy="1546860"/>
                          </a:xfrm>
                          <a:prstGeom prst="rect">
                            <a:avLst/>
                          </a:prstGeom>
                          <a:noFill/>
                        </pic:spPr>
                      </pic:pic>
                    </a:graphicData>
                  </a:graphic>
                </wp:inline>
              </w:drawing>
            </w:r>
          </w:p>
          <w:p w:rsidR="006917A5" w:rsidRDefault="006917A5">
            <w:pPr>
              <w:widowControl w:val="0"/>
              <w:jc w:val="both"/>
            </w:pPr>
          </w:p>
        </w:tc>
      </w:tr>
      <w:tr w:rsidR="006917A5">
        <w:tc>
          <w:tcPr>
            <w:tcW w:w="10774" w:type="dxa"/>
            <w:gridSpan w:val="2"/>
            <w:tcBorders>
              <w:top w:val="nil"/>
              <w:left w:val="nil"/>
              <w:bottom w:val="nil"/>
              <w:right w:val="nil"/>
            </w:tcBorders>
          </w:tcPr>
          <w:p w:rsidR="006917A5" w:rsidRDefault="006917A5">
            <w:pPr>
              <w:widowControl w:val="0"/>
            </w:pPr>
          </w:p>
          <w:p w:rsidR="006917A5" w:rsidRDefault="006917A5">
            <w:pPr>
              <w:widowControl w:val="0"/>
            </w:pPr>
          </w:p>
          <w:tbl>
            <w:tblPr>
              <w:tblStyle w:val="Grilledutableau"/>
              <w:tblW w:w="10548" w:type="dxa"/>
              <w:tblLayout w:type="fixed"/>
              <w:tblLook w:val="04A0"/>
            </w:tblPr>
            <w:tblGrid>
              <w:gridCol w:w="10548"/>
            </w:tblGrid>
            <w:tr w:rsidR="006917A5">
              <w:tc>
                <w:tcPr>
                  <w:tcW w:w="10548" w:type="dxa"/>
                </w:tcPr>
                <w:p w:rsidR="006917A5" w:rsidRDefault="003A2E79">
                  <w:pPr>
                    <w:framePr w:hSpace="141" w:wrap="around" w:vAnchor="text" w:hAnchor="margin" w:y="-116"/>
                    <w:widowControl w:val="0"/>
                    <w:pBdr>
                      <w:top w:val="single" w:sz="4" w:space="1" w:color="000000"/>
                      <w:left w:val="single" w:sz="4" w:space="4" w:color="000000"/>
                      <w:bottom w:val="single" w:sz="4" w:space="1" w:color="000000"/>
                      <w:right w:val="single" w:sz="4" w:space="4" w:color="000000"/>
                    </w:pBdr>
                    <w:jc w:val="both"/>
                    <w:outlineLvl w:val="0"/>
                    <w:rPr>
                      <w:rFonts w:asciiTheme="minorHAnsi" w:hAnsiTheme="minorHAnsi" w:cstheme="minorHAnsi"/>
                      <w:b/>
                      <w:bCs/>
                      <w:kern w:val="2"/>
                      <w:u w:val="single"/>
                    </w:rPr>
                  </w:pPr>
                  <w:r>
                    <w:rPr>
                      <w:rFonts w:asciiTheme="minorHAnsi" w:hAnsiTheme="minorHAnsi" w:cstheme="minorHAnsi"/>
                      <w:b/>
                      <w:bCs/>
                      <w:kern w:val="2"/>
                      <w:u w:val="single"/>
                    </w:rPr>
                    <w:t>Document 6 : Le contrat local de santé mentale en Occitanie</w:t>
                  </w:r>
                </w:p>
                <w:p w:rsidR="006917A5" w:rsidRDefault="003A2E79">
                  <w:pPr>
                    <w:framePr w:hSpace="141" w:wrap="around" w:vAnchor="text" w:hAnchor="margin" w:y="-116"/>
                    <w:widowControl w:val="0"/>
                    <w:pBdr>
                      <w:top w:val="single" w:sz="4" w:space="1" w:color="000000"/>
                      <w:left w:val="single" w:sz="4" w:space="4" w:color="000000"/>
                      <w:bottom w:val="single" w:sz="4" w:space="1" w:color="000000"/>
                      <w:right w:val="single" w:sz="4" w:space="4" w:color="000000"/>
                    </w:pBdr>
                    <w:jc w:val="center"/>
                    <w:outlineLvl w:val="0"/>
                    <w:rPr>
                      <w:rFonts w:asciiTheme="minorHAnsi" w:hAnsiTheme="minorHAnsi" w:cstheme="minorHAnsi"/>
                      <w:b/>
                      <w:bCs/>
                      <w:kern w:val="2"/>
                      <w:u w:val="single"/>
                    </w:rPr>
                  </w:pPr>
                  <w:r>
                    <w:rPr>
                      <w:noProof/>
                    </w:rPr>
                    <w:drawing>
                      <wp:inline distT="0" distB="0" distL="0" distR="0">
                        <wp:extent cx="4187825" cy="1333500"/>
                        <wp:effectExtent l="0" t="0" r="0" b="0"/>
                        <wp:docPr id="23"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6"/>
                                <pic:cNvPicPr>
                                  <a:picLocks noChangeAspect="1" noChangeArrowheads="1"/>
                                </pic:cNvPicPr>
                              </pic:nvPicPr>
                              <pic:blipFill>
                                <a:blip r:embed="rId41"/>
                                <a:stretch>
                                  <a:fillRect/>
                                </a:stretch>
                              </pic:blipFill>
                              <pic:spPr bwMode="auto">
                                <a:xfrm>
                                  <a:off x="0" y="0"/>
                                  <a:ext cx="4187825" cy="1333500"/>
                                </a:xfrm>
                                <a:prstGeom prst="rect">
                                  <a:avLst/>
                                </a:prstGeom>
                                <a:noFill/>
                              </pic:spPr>
                            </pic:pic>
                          </a:graphicData>
                        </a:graphic>
                      </wp:inline>
                    </w:drawing>
                  </w:r>
                  <w:r>
                    <w:rPr>
                      <w:noProof/>
                    </w:rPr>
                    <w:drawing>
                      <wp:inline distT="0" distB="0" distL="0" distR="0">
                        <wp:extent cx="1341120" cy="1341120"/>
                        <wp:effectExtent l="0" t="0" r="0" b="0"/>
                        <wp:docPr id="2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14"/>
                                <pic:cNvPicPr>
                                  <a:picLocks noChangeAspect="1" noChangeArrowheads="1"/>
                                </pic:cNvPicPr>
                              </pic:nvPicPr>
                              <pic:blipFill>
                                <a:blip r:embed="rId42" cstate="print"/>
                                <a:stretch>
                                  <a:fillRect/>
                                </a:stretch>
                              </pic:blipFill>
                              <pic:spPr bwMode="auto">
                                <a:xfrm>
                                  <a:off x="0" y="0"/>
                                  <a:ext cx="1341120" cy="1341120"/>
                                </a:xfrm>
                                <a:prstGeom prst="rect">
                                  <a:avLst/>
                                </a:prstGeom>
                                <a:noFill/>
                              </pic:spPr>
                            </pic:pic>
                          </a:graphicData>
                        </a:graphic>
                      </wp:inline>
                    </w:drawing>
                  </w:r>
                </w:p>
                <w:p w:rsidR="006917A5" w:rsidRDefault="006917A5">
                  <w:pPr>
                    <w:framePr w:hSpace="141" w:wrap="around" w:vAnchor="text" w:hAnchor="margin" w:y="-116"/>
                    <w:widowControl w:val="0"/>
                    <w:pBdr>
                      <w:top w:val="single" w:sz="4" w:space="1" w:color="000000"/>
                      <w:left w:val="single" w:sz="4" w:space="4" w:color="000000"/>
                      <w:bottom w:val="single" w:sz="4" w:space="1" w:color="000000"/>
                      <w:right w:val="single" w:sz="4" w:space="4" w:color="000000"/>
                    </w:pBdr>
                    <w:outlineLvl w:val="0"/>
                    <w:rPr>
                      <w:rFonts w:asciiTheme="minorHAnsi" w:hAnsiTheme="minorHAnsi" w:cstheme="minorHAnsi"/>
                      <w:b/>
                      <w:bCs/>
                      <w:kern w:val="2"/>
                      <w:u w:val="single"/>
                    </w:rPr>
                  </w:pPr>
                </w:p>
                <w:p w:rsidR="006917A5" w:rsidRDefault="006917A5">
                  <w:pPr>
                    <w:framePr w:hSpace="141" w:wrap="around" w:vAnchor="text" w:hAnchor="margin" w:y="-116"/>
                    <w:widowControl w:val="0"/>
                    <w:pBdr>
                      <w:top w:val="single" w:sz="4" w:space="1" w:color="000000"/>
                      <w:left w:val="single" w:sz="4" w:space="4" w:color="000000"/>
                      <w:bottom w:val="single" w:sz="4" w:space="1" w:color="000000"/>
                      <w:right w:val="single" w:sz="4" w:space="4" w:color="000000"/>
                    </w:pBdr>
                    <w:jc w:val="right"/>
                    <w:outlineLvl w:val="0"/>
                    <w:rPr>
                      <w:rFonts w:asciiTheme="minorHAnsi" w:hAnsiTheme="minorHAnsi" w:cstheme="minorHAnsi"/>
                      <w:b/>
                      <w:bCs/>
                      <w:kern w:val="2"/>
                      <w:u w:val="single"/>
                    </w:rPr>
                  </w:pPr>
                </w:p>
                <w:p w:rsidR="006917A5" w:rsidRDefault="003A2E79">
                  <w:pPr>
                    <w:framePr w:hSpace="141" w:wrap="around" w:vAnchor="text" w:hAnchor="margin" w:y="-116"/>
                    <w:widowControl w:val="0"/>
                    <w:pBdr>
                      <w:top w:val="single" w:sz="4" w:space="1" w:color="000000"/>
                      <w:left w:val="single" w:sz="4" w:space="4" w:color="000000"/>
                      <w:bottom w:val="single" w:sz="4" w:space="1" w:color="000000"/>
                      <w:right w:val="single" w:sz="4" w:space="4" w:color="000000"/>
                    </w:pBdr>
                    <w:jc w:val="right"/>
                    <w:outlineLvl w:val="0"/>
                    <w:rPr>
                      <w:rFonts w:asciiTheme="minorHAnsi" w:eastAsiaTheme="minorHAnsi" w:hAnsiTheme="minorHAnsi" w:cstheme="minorBidi"/>
                      <w:i/>
                      <w:iCs/>
                      <w:sz w:val="20"/>
                      <w:szCs w:val="20"/>
                      <w:lang w:eastAsia="en-US"/>
                    </w:rPr>
                  </w:pPr>
                  <w:r>
                    <w:rPr>
                      <w:rFonts w:asciiTheme="minorHAnsi" w:hAnsiTheme="minorHAnsi" w:cstheme="minorHAnsi"/>
                      <w:i/>
                      <w:iCs/>
                      <w:kern w:val="2"/>
                      <w:u w:val="single"/>
                    </w:rPr>
                    <w:t>https://www.occitanie.ars.sante.fr/index.php/conseils-locaux-de-sante-mentale-1?parent=14474</w:t>
                  </w:r>
                </w:p>
              </w:tc>
            </w:tr>
          </w:tbl>
          <w:p w:rsidR="006917A5" w:rsidRDefault="006917A5">
            <w:pPr>
              <w:widowControl w:val="0"/>
              <w:rPr>
                <w:rFonts w:asciiTheme="minorHAnsi" w:hAnsiTheme="minorHAnsi" w:cstheme="minorHAnsi"/>
              </w:rPr>
            </w:pPr>
          </w:p>
        </w:tc>
      </w:tr>
    </w:tbl>
    <w:p w:rsidR="006917A5" w:rsidRDefault="006917A5">
      <w:pPr>
        <w:jc w:val="both"/>
        <w:rPr>
          <w:rFonts w:asciiTheme="minorHAnsi" w:hAnsiTheme="minorHAnsi" w:cstheme="minorHAnsi"/>
          <w:b/>
          <w:color w:val="000000" w:themeColor="text1"/>
          <w:sz w:val="22"/>
          <w:szCs w:val="22"/>
        </w:rPr>
      </w:pPr>
    </w:p>
    <w:p w:rsidR="006917A5" w:rsidRDefault="006917A5">
      <w:pPr>
        <w:jc w:val="both"/>
        <w:rPr>
          <w:rFonts w:asciiTheme="minorHAnsi" w:hAnsiTheme="minorHAnsi" w:cstheme="minorHAnsi"/>
          <w:b/>
          <w:bCs/>
          <w:sz w:val="22"/>
          <w:szCs w:val="22"/>
          <w:u w:val="single"/>
        </w:rPr>
      </w:pPr>
    </w:p>
    <w:p w:rsidR="006917A5" w:rsidRDefault="006917A5">
      <w:pPr>
        <w:jc w:val="both"/>
        <w:rPr>
          <w:rFonts w:asciiTheme="minorHAnsi" w:hAnsiTheme="minorHAnsi" w:cstheme="minorHAnsi"/>
          <w:b/>
          <w:bCs/>
          <w:sz w:val="22"/>
          <w:szCs w:val="22"/>
          <w:u w:val="single"/>
        </w:rPr>
      </w:pPr>
    </w:p>
    <w:p w:rsidR="006917A5" w:rsidRDefault="006917A5">
      <w:pPr>
        <w:jc w:val="both"/>
        <w:rPr>
          <w:rFonts w:asciiTheme="minorHAnsi" w:hAnsiTheme="minorHAnsi" w:cstheme="minorHAnsi"/>
          <w:b/>
          <w:bCs/>
          <w:sz w:val="22"/>
          <w:szCs w:val="22"/>
          <w:u w:val="single"/>
        </w:rPr>
      </w:pPr>
    </w:p>
    <w:p w:rsidR="006917A5" w:rsidRDefault="003A2E79">
      <w:pPr>
        <w:jc w:val="both"/>
        <w:rPr>
          <w:rFonts w:asciiTheme="minorHAnsi" w:hAnsiTheme="minorHAnsi" w:cstheme="minorHAnsi"/>
          <w:b/>
          <w:bCs/>
          <w:sz w:val="32"/>
          <w:szCs w:val="32"/>
          <w:u w:val="single"/>
        </w:rPr>
      </w:pPr>
      <w:r>
        <w:rPr>
          <w:rFonts w:asciiTheme="minorHAnsi" w:hAnsiTheme="minorHAnsi" w:cstheme="minorHAnsi"/>
          <w:b/>
          <w:bCs/>
          <w:sz w:val="32"/>
          <w:szCs w:val="32"/>
          <w:u w:val="single"/>
        </w:rPr>
        <w:lastRenderedPageBreak/>
        <w:t xml:space="preserve">Annexe </w:t>
      </w:r>
      <w:r w:rsidR="008859B4">
        <w:rPr>
          <w:rFonts w:asciiTheme="minorHAnsi" w:hAnsiTheme="minorHAnsi" w:cstheme="minorHAnsi"/>
          <w:b/>
          <w:bCs/>
          <w:sz w:val="32"/>
          <w:szCs w:val="32"/>
          <w:u w:val="single"/>
        </w:rPr>
        <w:t>8</w:t>
      </w:r>
      <w:r>
        <w:rPr>
          <w:rFonts w:asciiTheme="minorHAnsi" w:hAnsiTheme="minorHAnsi" w:cstheme="minorHAnsi"/>
          <w:b/>
          <w:bCs/>
          <w:sz w:val="32"/>
          <w:szCs w:val="32"/>
          <w:u w:val="single"/>
        </w:rPr>
        <w:t> : Politique de santé de l’Union Européenne et santé mentale</w:t>
      </w:r>
    </w:p>
    <w:p w:rsidR="006917A5" w:rsidRDefault="006917A5">
      <w:pPr>
        <w:jc w:val="both"/>
        <w:rPr>
          <w:rFonts w:asciiTheme="minorHAnsi" w:hAnsiTheme="minorHAnsi" w:cstheme="minorHAnsi"/>
          <w:b/>
          <w:bCs/>
          <w:sz w:val="20"/>
          <w:szCs w:val="20"/>
        </w:rPr>
      </w:pPr>
    </w:p>
    <w:tbl>
      <w:tblPr>
        <w:tblStyle w:val="Grilledutableau"/>
        <w:tblW w:w="10774" w:type="dxa"/>
        <w:tblInd w:w="-147" w:type="dxa"/>
        <w:tblLayout w:type="fixed"/>
        <w:tblLook w:val="04A0"/>
      </w:tblPr>
      <w:tblGrid>
        <w:gridCol w:w="10774"/>
      </w:tblGrid>
      <w:tr w:rsidR="006917A5">
        <w:tc>
          <w:tcPr>
            <w:tcW w:w="10774" w:type="dxa"/>
          </w:tcPr>
          <w:tbl>
            <w:tblPr>
              <w:tblStyle w:val="Grilledutableau"/>
              <w:tblW w:w="10774" w:type="dxa"/>
              <w:tblLayout w:type="fixed"/>
              <w:tblLook w:val="04A0"/>
            </w:tblPr>
            <w:tblGrid>
              <w:gridCol w:w="10774"/>
            </w:tblGrid>
            <w:tr w:rsidR="006917A5">
              <w:tc>
                <w:tcPr>
                  <w:tcW w:w="10774" w:type="dxa"/>
                </w:tcPr>
                <w:p w:rsidR="006917A5" w:rsidRDefault="003A2E79">
                  <w:pPr>
                    <w:widowControl w:val="0"/>
                    <w:jc w:val="both"/>
                    <w:rPr>
                      <w:rFonts w:asciiTheme="minorHAnsi" w:hAnsiTheme="minorHAnsi" w:cstheme="minorHAnsi"/>
                      <w:b/>
                      <w:u w:val="single"/>
                    </w:rPr>
                  </w:pPr>
                  <w:r>
                    <w:rPr>
                      <w:rFonts w:asciiTheme="minorHAnsi" w:hAnsiTheme="minorHAnsi" w:cstheme="minorHAnsi"/>
                      <w:b/>
                      <w:u w:val="single"/>
                    </w:rPr>
                    <w:t>Document 1 : L’Europe et la santé publique</w:t>
                  </w:r>
                </w:p>
                <w:p w:rsidR="006917A5" w:rsidRDefault="003A2E79">
                  <w:pPr>
                    <w:suppressAutoHyphens w:val="0"/>
                    <w:spacing w:beforeAutospacing="1" w:afterAutospacing="1"/>
                    <w:rPr>
                      <w:rFonts w:asciiTheme="minorHAnsi" w:hAnsiTheme="minorHAnsi" w:cstheme="minorHAnsi"/>
                    </w:rPr>
                  </w:pPr>
                  <w:r>
                    <w:rPr>
                      <w:rFonts w:asciiTheme="minorHAnsi" w:hAnsiTheme="minorHAnsi" w:cstheme="minorHAnsi"/>
                    </w:rPr>
                    <w:t xml:space="preserve">La santé publique en Europe relève par </w:t>
                  </w:r>
                  <w:r>
                    <w:rPr>
                      <w:rFonts w:asciiTheme="minorHAnsi" w:hAnsiTheme="minorHAnsi" w:cstheme="minorHAnsi"/>
                    </w:rPr>
                    <w:t>principe de la compétence des États membres. Les gouvernements nationaux sont donc libres d'organiser et de fournir leurs services de soins comme ils le souhaitent. Mais l'</w:t>
                  </w:r>
                  <w:hyperlink r:id="rId43" w:tgtFrame="_blank">
                    <w:r>
                      <w:rPr>
                        <w:rStyle w:val="Lienhypertexte"/>
                        <w:rFonts w:asciiTheme="minorHAnsi" w:hAnsiTheme="minorHAnsi" w:cstheme="minorHAnsi"/>
                        <w:color w:val="auto"/>
                        <w:u w:val="none"/>
                      </w:rPr>
                      <w:t>action de l'Union e</w:t>
                    </w:r>
                    <w:r>
                      <w:rPr>
                        <w:rStyle w:val="Lienhypertexte"/>
                        <w:rFonts w:asciiTheme="minorHAnsi" w:hAnsiTheme="minorHAnsi" w:cstheme="minorHAnsi"/>
                        <w:color w:val="auto"/>
                        <w:u w:val="none"/>
                      </w:rPr>
                      <w:t>u</w:t>
                    </w:r>
                    <w:r>
                      <w:rPr>
                        <w:rStyle w:val="Lienhypertexte"/>
                        <w:rFonts w:asciiTheme="minorHAnsi" w:hAnsiTheme="minorHAnsi" w:cstheme="minorHAnsi"/>
                        <w:color w:val="auto"/>
                        <w:u w:val="none"/>
                      </w:rPr>
                      <w:t>ropéenne</w:t>
                    </w:r>
                  </w:hyperlink>
                  <w:r>
                    <w:rPr>
                      <w:rFonts w:asciiTheme="minorHAnsi" w:hAnsiTheme="minorHAnsi" w:cstheme="minorHAnsi"/>
                    </w:rPr>
                    <w:t xml:space="preserve"> peut venir en appui de ces politiques nationales. Le traité sur le fonctionnement de l’Union européenne (T</w:t>
                  </w:r>
                  <w:r>
                    <w:rPr>
                      <w:rFonts w:asciiTheme="minorHAnsi" w:hAnsiTheme="minorHAnsi" w:cstheme="minorHAnsi"/>
                    </w:rPr>
                    <w:t>FUE) offre ainsi une base légale à l’UE pour intervenir dans de nombreux domaines comme l’amélioration de l’état de santé des populations ou la prévention des maladies. […]</w:t>
                  </w:r>
                </w:p>
                <w:p w:rsidR="006917A5" w:rsidRDefault="003A2E79">
                  <w:pPr>
                    <w:widowControl w:val="0"/>
                    <w:jc w:val="both"/>
                    <w:rPr>
                      <w:rFonts w:asciiTheme="minorHAnsi" w:hAnsiTheme="minorHAnsi" w:cstheme="minorHAnsi"/>
                      <w:bCs/>
                    </w:rPr>
                  </w:pPr>
                  <w:r>
                    <w:rPr>
                      <w:rFonts w:asciiTheme="minorHAnsi" w:hAnsiTheme="minorHAnsi" w:cstheme="minorHAnsi"/>
                      <w:bCs/>
                    </w:rPr>
                    <w:t>Des textes contraignants peuvent […] être adoptés au niveau européen. Par ailleurs,</w:t>
                  </w:r>
                  <w:r>
                    <w:rPr>
                      <w:rFonts w:asciiTheme="minorHAnsi" w:hAnsiTheme="minorHAnsi" w:cstheme="minorHAnsi"/>
                      <w:bCs/>
                    </w:rPr>
                    <w:t xml:space="preserve"> depuis l’élargissement de ses compétences par le traité de Lisbonne en 2007, l’UE peut aussi élaborer des « mesures fixant des normes élevées de qualité et de sécurité des organes, du sang, des médicaments et des dispositifs à usage médical ou encore des </w:t>
                  </w:r>
                  <w:r>
                    <w:rPr>
                      <w:rFonts w:asciiTheme="minorHAnsi" w:hAnsiTheme="minorHAnsi" w:cstheme="minorHAnsi"/>
                      <w:bCs/>
                    </w:rPr>
                    <w:t>mesures dans les domaines vétérinaire et phytosanitaire ». […]</w:t>
                  </w:r>
                </w:p>
                <w:p w:rsidR="006917A5" w:rsidRDefault="006917A5">
                  <w:pPr>
                    <w:widowControl w:val="0"/>
                    <w:jc w:val="both"/>
                    <w:rPr>
                      <w:rFonts w:asciiTheme="minorHAnsi" w:hAnsiTheme="minorHAnsi" w:cstheme="minorHAnsi"/>
                    </w:rPr>
                  </w:pPr>
                </w:p>
                <w:p w:rsidR="006917A5" w:rsidRDefault="003A2E79">
                  <w:pPr>
                    <w:widowControl w:val="0"/>
                    <w:jc w:val="right"/>
                    <w:rPr>
                      <w:rFonts w:asciiTheme="minorHAnsi" w:hAnsiTheme="minorHAnsi" w:cstheme="minorHAnsi"/>
                      <w:bCs/>
                      <w:i/>
                      <w:iCs/>
                      <w:u w:val="single"/>
                    </w:rPr>
                  </w:pPr>
                  <w:r>
                    <w:rPr>
                      <w:rFonts w:asciiTheme="minorHAnsi" w:hAnsiTheme="minorHAnsi" w:cstheme="minorHAnsi"/>
                      <w:i/>
                      <w:iCs/>
                      <w:kern w:val="2"/>
                      <w:u w:val="single"/>
                    </w:rPr>
                    <w:t>https://www</w:t>
                  </w:r>
                  <w:r>
                    <w:rPr>
                      <w:rFonts w:asciiTheme="minorHAnsi" w:hAnsiTheme="minorHAnsi" w:cstheme="minorHAnsi"/>
                      <w:bCs/>
                      <w:i/>
                      <w:iCs/>
                      <w:u w:val="single"/>
                    </w:rPr>
                    <w:t xml:space="preserve"> touteleurope.eu</w:t>
                  </w:r>
                </w:p>
              </w:tc>
            </w:tr>
          </w:tbl>
          <w:p w:rsidR="006917A5" w:rsidRDefault="006917A5">
            <w:pPr>
              <w:suppressAutoHyphens w:val="0"/>
              <w:spacing w:beforeAutospacing="1"/>
              <w:rPr>
                <w:rFonts w:asciiTheme="minorHAnsi" w:hAnsiTheme="minorHAnsi" w:cstheme="minorHAnsi"/>
                <w:bCs/>
                <w:i/>
                <w:iCs/>
                <w:sz w:val="20"/>
                <w:szCs w:val="20"/>
              </w:rPr>
            </w:pPr>
          </w:p>
        </w:tc>
      </w:tr>
      <w:tr w:rsidR="006917A5">
        <w:tc>
          <w:tcPr>
            <w:tcW w:w="10774" w:type="dxa"/>
          </w:tcPr>
          <w:p w:rsidR="006917A5" w:rsidRDefault="003A2E79">
            <w:pPr>
              <w:suppressAutoHyphens w:val="0"/>
              <w:spacing w:beforeAutospacing="1" w:afterAutospacing="1"/>
              <w:rPr>
                <w:rFonts w:asciiTheme="minorHAnsi" w:hAnsiTheme="minorHAnsi" w:cstheme="minorHAnsi"/>
                <w:b/>
                <w:bCs/>
                <w:u w:val="single"/>
              </w:rPr>
            </w:pPr>
            <w:r>
              <w:rPr>
                <w:rFonts w:asciiTheme="minorHAnsi" w:hAnsiTheme="minorHAnsi" w:cstheme="minorHAnsi"/>
                <w:b/>
                <w:bCs/>
                <w:u w:val="single"/>
              </w:rPr>
              <w:t>Document 2 : La santé mentale en Europe, un défi silencieux devenu priorité politique</w:t>
            </w:r>
          </w:p>
          <w:p w:rsidR="006917A5" w:rsidRDefault="003A2E79">
            <w:pPr>
              <w:suppressAutoHyphens w:val="0"/>
              <w:spacing w:beforeAutospacing="1" w:afterAutospacing="1"/>
              <w:rPr>
                <w:rFonts w:asciiTheme="minorHAnsi" w:hAnsiTheme="minorHAnsi" w:cstheme="minorHAnsi"/>
              </w:rPr>
            </w:pPr>
            <w:r>
              <w:rPr>
                <w:rFonts w:asciiTheme="minorHAnsi" w:hAnsiTheme="minorHAnsi" w:cstheme="minorHAnsi"/>
              </w:rPr>
              <w:t>Publié le 07.04.2026 - Florian Chaaban</w:t>
            </w:r>
          </w:p>
          <w:p w:rsidR="006917A5" w:rsidRDefault="003A2E79">
            <w:pPr>
              <w:suppressAutoHyphens w:val="0"/>
              <w:spacing w:beforeAutospacing="1" w:afterAutospacing="1"/>
              <w:rPr>
                <w:rFonts w:asciiTheme="minorHAnsi" w:hAnsiTheme="minorHAnsi" w:cstheme="minorHAnsi"/>
                <w:b/>
                <w:bCs/>
              </w:rPr>
            </w:pPr>
            <w:r>
              <w:rPr>
                <w:rFonts w:asciiTheme="minorHAnsi" w:hAnsiTheme="minorHAnsi" w:cstheme="minorHAnsi"/>
                <w:b/>
                <w:bCs/>
              </w:rPr>
              <w:t>Longtemps négligée, la santé mentale est désormais au cœur des combats de l’Union européenne en matière de santé publique. Face à une hausse préoccupante des troubles psychiques, exacerbée par la pandémie de Covid-19, la Commission européenne a lancé une s</w:t>
            </w:r>
            <w:r>
              <w:rPr>
                <w:rFonts w:asciiTheme="minorHAnsi" w:hAnsiTheme="minorHAnsi" w:cstheme="minorHAnsi"/>
                <w:b/>
                <w:bCs/>
              </w:rPr>
              <w:t>tratégie globale pour prévenir, diagnostiquer et mieux accompagner les personnes concernées.</w:t>
            </w:r>
          </w:p>
          <w:p w:rsidR="006917A5" w:rsidRDefault="003A2E79">
            <w:pPr>
              <w:suppressAutoHyphens w:val="0"/>
              <w:spacing w:beforeAutospacing="1" w:afterAutospacing="1"/>
              <w:rPr>
                <w:rFonts w:asciiTheme="minorHAnsi" w:hAnsiTheme="minorHAnsi" w:cstheme="minorHAnsi"/>
              </w:rPr>
            </w:pPr>
            <w:r>
              <w:rPr>
                <w:rFonts w:asciiTheme="minorHAnsi" w:hAnsiTheme="minorHAnsi" w:cstheme="minorHAnsi"/>
              </w:rPr>
              <w:t xml:space="preserve">Le 7 juin 2023, l'exécutif européen a adopté une </w:t>
            </w:r>
            <w:hyperlink r:id="rId44" w:tgtFrame="_blank">
              <w:r>
                <w:rPr>
                  <w:rFonts w:asciiTheme="minorHAnsi" w:hAnsiTheme="minorHAnsi" w:cstheme="minorHAnsi"/>
                </w:rPr>
                <w:t>communication sur une approche globale en matière de santé me</w:t>
              </w:r>
              <w:r>
                <w:rPr>
                  <w:rFonts w:asciiTheme="minorHAnsi" w:hAnsiTheme="minorHAnsi" w:cstheme="minorHAnsi"/>
                </w:rPr>
                <w:t>n</w:t>
              </w:r>
              <w:r>
                <w:rPr>
                  <w:rFonts w:asciiTheme="minorHAnsi" w:hAnsiTheme="minorHAnsi" w:cstheme="minorHAnsi"/>
                </w:rPr>
                <w:t>tale</w:t>
              </w:r>
            </w:hyperlink>
            <w:r>
              <w:rPr>
                <w:rFonts w:asciiTheme="minorHAnsi" w:hAnsiTheme="minorHAnsi" w:cstheme="minorHAnsi"/>
              </w:rPr>
              <w:t xml:space="preserve">. Son objectif : aider les États membres et les parties prenantes à prendre rapidement des mesures pour relever les nombreux défis propres à ce domaine, </w:t>
            </w:r>
            <w:hyperlink r:id="rId45" w:tgtFrame="_blank">
              <w:r>
                <w:rPr>
                  <w:rFonts w:asciiTheme="minorHAnsi" w:hAnsiTheme="minorHAnsi" w:cstheme="minorHAnsi"/>
                </w:rPr>
                <w:t>considéré</w:t>
              </w:r>
            </w:hyperlink>
            <w:r>
              <w:rPr>
                <w:rFonts w:asciiTheme="minorHAnsi" w:hAnsiTheme="minorHAnsi" w:cstheme="minorHAnsi"/>
              </w:rPr>
              <w:t xml:space="preserve"> par le Conseil européen comme "</w:t>
            </w:r>
            <w:r>
              <w:rPr>
                <w:rFonts w:asciiTheme="minorHAnsi" w:hAnsiTheme="minorHAnsi" w:cstheme="minorHAnsi"/>
                <w:i/>
                <w:iCs/>
              </w:rPr>
              <w:t>l'une des clés d'une vie ép</w:t>
            </w:r>
            <w:r>
              <w:rPr>
                <w:rFonts w:asciiTheme="minorHAnsi" w:hAnsiTheme="minorHAnsi" w:cstheme="minorHAnsi"/>
                <w:i/>
                <w:iCs/>
              </w:rPr>
              <w:t>a</w:t>
            </w:r>
            <w:r>
              <w:rPr>
                <w:rFonts w:asciiTheme="minorHAnsi" w:hAnsiTheme="minorHAnsi" w:cstheme="minorHAnsi"/>
                <w:i/>
                <w:iCs/>
              </w:rPr>
              <w:t>nouie et productive</w:t>
            </w:r>
            <w:r>
              <w:rPr>
                <w:rFonts w:asciiTheme="minorHAnsi" w:hAnsiTheme="minorHAnsi" w:cstheme="minorHAnsi"/>
              </w:rPr>
              <w:t>".</w:t>
            </w:r>
          </w:p>
          <w:p w:rsidR="006917A5" w:rsidRDefault="003A2E79">
            <w:pPr>
              <w:suppressAutoHyphens w:val="0"/>
              <w:spacing w:beforeAutospacing="1" w:afterAutospacing="1"/>
              <w:outlineLvl w:val="1"/>
              <w:rPr>
                <w:rFonts w:asciiTheme="minorHAnsi" w:hAnsiTheme="minorHAnsi" w:cstheme="minorHAnsi"/>
                <w:b/>
                <w:bCs/>
                <w:u w:val="single"/>
              </w:rPr>
            </w:pPr>
            <w:r>
              <w:rPr>
                <w:rFonts w:asciiTheme="minorHAnsi" w:hAnsiTheme="minorHAnsi" w:cstheme="minorHAnsi"/>
                <w:b/>
                <w:bCs/>
                <w:u w:val="single"/>
              </w:rPr>
              <w:t>Une stratégie globale</w:t>
            </w:r>
          </w:p>
          <w:p w:rsidR="006917A5" w:rsidRDefault="003A2E79">
            <w:pPr>
              <w:suppressAutoHyphens w:val="0"/>
              <w:spacing w:beforeAutospacing="1" w:afterAutospacing="1"/>
              <w:rPr>
                <w:rFonts w:asciiTheme="minorHAnsi" w:hAnsiTheme="minorHAnsi" w:cstheme="minorHAnsi"/>
              </w:rPr>
            </w:pPr>
            <w:r>
              <w:rPr>
                <w:rFonts w:asciiTheme="minorHAnsi" w:hAnsiTheme="minorHAnsi" w:cstheme="minorHAnsi"/>
              </w:rPr>
              <w:t xml:space="preserve">Selon l'approche de la Commission, la santé mentale est intimement liée à de </w:t>
            </w:r>
            <w:r>
              <w:rPr>
                <w:rFonts w:asciiTheme="minorHAnsi" w:hAnsiTheme="minorHAnsi" w:cstheme="minorHAnsi"/>
              </w:rPr>
              <w:t>nombreux domaines d’action, tels que l’emploi, l’éducation, la recherche, la numérisation, la culture, l’environnement ou le climat. Transversale par e</w:t>
            </w:r>
            <w:r>
              <w:rPr>
                <w:rFonts w:asciiTheme="minorHAnsi" w:hAnsiTheme="minorHAnsi" w:cstheme="minorHAnsi"/>
              </w:rPr>
              <w:t>s</w:t>
            </w:r>
            <w:r>
              <w:rPr>
                <w:rFonts w:asciiTheme="minorHAnsi" w:hAnsiTheme="minorHAnsi" w:cstheme="minorHAnsi"/>
              </w:rPr>
              <w:t>sence, cette stratégie place la santé physique et la santé mentale sur un pied d’égalité.</w:t>
            </w:r>
          </w:p>
          <w:p w:rsidR="006917A5" w:rsidRDefault="003A2E79">
            <w:pPr>
              <w:suppressAutoHyphens w:val="0"/>
              <w:spacing w:beforeAutospacing="1" w:afterAutospacing="1"/>
              <w:rPr>
                <w:rFonts w:asciiTheme="minorHAnsi" w:hAnsiTheme="minorHAnsi" w:cstheme="minorHAnsi"/>
              </w:rPr>
            </w:pPr>
            <w:r>
              <w:rPr>
                <w:rFonts w:asciiTheme="minorHAnsi" w:hAnsiTheme="minorHAnsi" w:cstheme="minorHAnsi"/>
              </w:rPr>
              <w:t>La communicati</w:t>
            </w:r>
            <w:r>
              <w:rPr>
                <w:rFonts w:asciiTheme="minorHAnsi" w:hAnsiTheme="minorHAnsi" w:cstheme="minorHAnsi"/>
              </w:rPr>
              <w:t>on joue un rôle clé dans cette démarche. Pour aller mieux, il convient d'abord de libérer la parole et de lever les nombreux tabous qui entourent encore ce mal trop longtemps passé sous silence. L'action de la Commi</w:t>
            </w:r>
            <w:r>
              <w:rPr>
                <w:rFonts w:asciiTheme="minorHAnsi" w:hAnsiTheme="minorHAnsi" w:cstheme="minorHAnsi"/>
              </w:rPr>
              <w:t>s</w:t>
            </w:r>
            <w:r>
              <w:rPr>
                <w:rFonts w:asciiTheme="minorHAnsi" w:hAnsiTheme="minorHAnsi" w:cstheme="minorHAnsi"/>
              </w:rPr>
              <w:t>sion s’appuie notamment sur les politiqu</w:t>
            </w:r>
            <w:r>
              <w:rPr>
                <w:rFonts w:asciiTheme="minorHAnsi" w:hAnsiTheme="minorHAnsi" w:cstheme="minorHAnsi"/>
              </w:rPr>
              <w:t>es et approches existantes. En ce sens, 1,23 milliard d’euros (</w:t>
            </w:r>
            <w:hyperlink r:id="rId46" w:tgtFrame="_blank">
              <w:r>
                <w:rPr>
                  <w:rFonts w:asciiTheme="minorHAnsi" w:hAnsiTheme="minorHAnsi" w:cstheme="minorHAnsi"/>
                </w:rPr>
                <w:t>à dépenser e</w:t>
              </w:r>
              <w:r>
                <w:rPr>
                  <w:rFonts w:asciiTheme="minorHAnsi" w:hAnsiTheme="minorHAnsi" w:cstheme="minorHAnsi"/>
                </w:rPr>
                <w:t>ntre 2021 et 2027</w:t>
              </w:r>
            </w:hyperlink>
            <w:r>
              <w:rPr>
                <w:rFonts w:asciiTheme="minorHAnsi" w:hAnsiTheme="minorHAnsi" w:cstheme="minorHAnsi"/>
              </w:rPr>
              <w:t xml:space="preserve">) ont été débloqués pour financer les initiatives directes et indirectes lancées par les États membres. Au total, vingt initiatives phares ont été listées, sous la forme d'obstacles à dépasser. </w:t>
            </w:r>
            <w:hyperlink r:id="rId47" w:anchor=":~:text=promouvoir%20le%20bien%2D%C3%AAtre%20mental,aux%20probl%C3%A8mes%20de%20sant%C3%A9%20mentale" w:tgtFrame="_blank">
              <w:r>
                <w:rPr>
                  <w:rFonts w:asciiTheme="minorHAnsi" w:hAnsiTheme="minorHAnsi" w:cstheme="minorHAnsi"/>
                </w:rPr>
                <w:t>Parmi elles</w:t>
              </w:r>
            </w:hyperlink>
            <w:r>
              <w:rPr>
                <w:rFonts w:asciiTheme="minorHAnsi" w:hAnsiTheme="minorHAnsi" w:cstheme="minorHAnsi"/>
              </w:rPr>
              <w:t xml:space="preserve">, l'échange de bonnes pratiques entre les Vingt-Sept, le renforcement des capacités </w:t>
            </w:r>
            <w:r>
              <w:rPr>
                <w:rFonts w:asciiTheme="minorHAnsi" w:hAnsiTheme="minorHAnsi" w:cstheme="minorHAnsi"/>
              </w:rPr>
              <w:t>et de la formation en matière de santé me</w:t>
            </w:r>
            <w:r>
              <w:rPr>
                <w:rFonts w:asciiTheme="minorHAnsi" w:hAnsiTheme="minorHAnsi" w:cstheme="minorHAnsi"/>
              </w:rPr>
              <w:t>n</w:t>
            </w:r>
            <w:r>
              <w:rPr>
                <w:rFonts w:asciiTheme="minorHAnsi" w:hAnsiTheme="minorHAnsi" w:cstheme="minorHAnsi"/>
              </w:rPr>
              <w:t>tale ou encore une meilleure prise en compte des troubles neurologiques.</w:t>
            </w:r>
          </w:p>
          <w:p w:rsidR="006917A5" w:rsidRDefault="003A2E79">
            <w:pPr>
              <w:suppressAutoHyphens w:val="0"/>
              <w:spacing w:beforeAutospacing="1" w:afterAutospacing="1"/>
              <w:rPr>
                <w:rFonts w:asciiTheme="minorHAnsi" w:hAnsiTheme="minorHAnsi" w:cstheme="minorHAnsi"/>
              </w:rPr>
            </w:pPr>
            <w:r>
              <w:rPr>
                <w:rFonts w:asciiTheme="minorHAnsi" w:hAnsiTheme="minorHAnsi" w:cstheme="minorHAnsi"/>
              </w:rPr>
              <w:t>À l’occasion de la semaine européenne de la santé mentale de 2024, la Commission a publié le cadre structurant de sa politique dédiée à cette</w:t>
            </w:r>
            <w:r>
              <w:rPr>
                <w:rFonts w:asciiTheme="minorHAnsi" w:hAnsiTheme="minorHAnsi" w:cstheme="minorHAnsi"/>
              </w:rPr>
              <w:t xml:space="preserve"> question de santé publique. La mise en œuvre de cette approche s’appuie sur des actions concrètes, au bénéfice des citoyens comme des systèmes de santé nationaux. Ces actions sont pilotées par les autor</w:t>
            </w:r>
            <w:r>
              <w:rPr>
                <w:rFonts w:asciiTheme="minorHAnsi" w:hAnsiTheme="minorHAnsi" w:cstheme="minorHAnsi"/>
              </w:rPr>
              <w:t>i</w:t>
            </w:r>
            <w:r>
              <w:rPr>
                <w:rFonts w:asciiTheme="minorHAnsi" w:hAnsiTheme="minorHAnsi" w:cstheme="minorHAnsi"/>
              </w:rPr>
              <w:t>tés nationales et les parties prenantes, avec une co</w:t>
            </w:r>
            <w:r>
              <w:rPr>
                <w:rFonts w:asciiTheme="minorHAnsi" w:hAnsiTheme="minorHAnsi" w:cstheme="minorHAnsi"/>
              </w:rPr>
              <w:t>ordination et un soutien transversal assurés par la Commission, en collaboration avec des partenaires internationaux tels que l’Organisation mondiale de la santé (OMS), l’Organisation de coopération et de développement économiques (OCDE), ou le Mouvement i</w:t>
            </w:r>
            <w:r>
              <w:rPr>
                <w:rFonts w:asciiTheme="minorHAnsi" w:hAnsiTheme="minorHAnsi" w:cstheme="minorHAnsi"/>
              </w:rPr>
              <w:t>nternational de la Croix-Rouge.</w:t>
            </w:r>
          </w:p>
          <w:p w:rsidR="006917A5" w:rsidRDefault="003A2E79">
            <w:pPr>
              <w:suppressAutoHyphens w:val="0"/>
              <w:spacing w:beforeAutospacing="1" w:afterAutospacing="1"/>
              <w:rPr>
                <w:rFonts w:asciiTheme="minorHAnsi" w:hAnsiTheme="minorHAnsi" w:cstheme="minorHAnsi"/>
              </w:rPr>
            </w:pPr>
            <w:r>
              <w:rPr>
                <w:rFonts w:asciiTheme="minorHAnsi" w:hAnsiTheme="minorHAnsi" w:cstheme="minorHAnsi"/>
              </w:rPr>
              <w:t>Par exemple, l’un des enjeux de cette question est lié à l’utilisation des réseaux sociaux. En effet, ceux-ci peuvent accentuer le sentiment d’isolement et détériorer la santé mentale. Un autre thème récurrent concerne le bi</w:t>
            </w:r>
            <w:r>
              <w:rPr>
                <w:rFonts w:asciiTheme="minorHAnsi" w:hAnsiTheme="minorHAnsi" w:cstheme="minorHAnsi"/>
              </w:rPr>
              <w:t>en-être au travail et la nécessité d’un accompagnement renforcé dans ce domaine.</w:t>
            </w:r>
          </w:p>
          <w:p w:rsidR="006917A5" w:rsidRDefault="003A2E79">
            <w:pPr>
              <w:suppressAutoHyphens w:val="0"/>
              <w:spacing w:beforeAutospacing="1"/>
              <w:jc w:val="right"/>
              <w:rPr>
                <w:rFonts w:asciiTheme="minorHAnsi" w:hAnsiTheme="minorHAnsi" w:cstheme="minorHAnsi"/>
              </w:rPr>
            </w:pPr>
            <w:r>
              <w:rPr>
                <w:rFonts w:asciiTheme="minorHAnsi" w:hAnsiTheme="minorHAnsi" w:cstheme="minorHAnsi"/>
                <w:i/>
                <w:iCs/>
                <w:u w:val="single"/>
              </w:rPr>
              <w:t>https://www.touteleurope.eu/societe/la-sante-mentale-en-europe-un-mal-silencieux-devenu-priorite-politique</w:t>
            </w:r>
            <w:r>
              <w:rPr>
                <w:rFonts w:asciiTheme="minorHAnsi" w:hAnsiTheme="minorHAnsi" w:cstheme="minorHAnsi"/>
              </w:rPr>
              <w:t>/</w:t>
            </w:r>
          </w:p>
        </w:tc>
      </w:tr>
    </w:tbl>
    <w:p w:rsidR="006917A5" w:rsidRDefault="006917A5">
      <w:pPr>
        <w:jc w:val="both"/>
        <w:rPr>
          <w:rFonts w:asciiTheme="minorHAnsi" w:hAnsiTheme="minorHAnsi" w:cstheme="minorHAnsi"/>
          <w:b/>
          <w:bCs/>
          <w:sz w:val="20"/>
          <w:szCs w:val="20"/>
          <w:u w:val="single"/>
        </w:rPr>
      </w:pPr>
    </w:p>
    <w:p w:rsidR="006917A5" w:rsidRDefault="003A2E79">
      <w:pPr>
        <w:jc w:val="both"/>
        <w:rPr>
          <w:rFonts w:asciiTheme="minorHAnsi" w:hAnsiTheme="minorHAnsi" w:cstheme="minorHAnsi"/>
          <w:b/>
          <w:bCs/>
          <w:sz w:val="32"/>
          <w:szCs w:val="32"/>
          <w:u w:val="single"/>
        </w:rPr>
      </w:pPr>
      <w:r>
        <w:rPr>
          <w:rFonts w:asciiTheme="minorHAnsi" w:hAnsiTheme="minorHAnsi" w:cstheme="minorHAnsi"/>
          <w:b/>
          <w:bCs/>
          <w:sz w:val="32"/>
          <w:szCs w:val="32"/>
          <w:u w:val="single"/>
        </w:rPr>
        <w:t xml:space="preserve">Annexe </w:t>
      </w:r>
      <w:r w:rsidR="008859B4">
        <w:rPr>
          <w:rFonts w:asciiTheme="minorHAnsi" w:hAnsiTheme="minorHAnsi" w:cstheme="minorHAnsi"/>
          <w:b/>
          <w:bCs/>
          <w:sz w:val="32"/>
          <w:szCs w:val="32"/>
          <w:u w:val="single"/>
        </w:rPr>
        <w:t>9</w:t>
      </w:r>
      <w:r>
        <w:rPr>
          <w:rFonts w:asciiTheme="minorHAnsi" w:hAnsiTheme="minorHAnsi" w:cstheme="minorHAnsi"/>
          <w:b/>
          <w:bCs/>
          <w:sz w:val="32"/>
          <w:szCs w:val="32"/>
          <w:u w:val="single"/>
        </w:rPr>
        <w:t>: Organisation Mondiale de la Santé</w:t>
      </w:r>
    </w:p>
    <w:p w:rsidR="006917A5" w:rsidRDefault="006917A5">
      <w:pPr>
        <w:ind w:left="-142"/>
        <w:jc w:val="both"/>
        <w:rPr>
          <w:rFonts w:asciiTheme="minorHAnsi" w:hAnsiTheme="minorHAnsi" w:cstheme="minorHAnsi"/>
          <w:b/>
          <w:bCs/>
          <w:sz w:val="22"/>
          <w:szCs w:val="22"/>
        </w:rPr>
      </w:pPr>
    </w:p>
    <w:tbl>
      <w:tblPr>
        <w:tblStyle w:val="Grilledutableau"/>
        <w:tblW w:w="10915" w:type="dxa"/>
        <w:tblInd w:w="-147" w:type="dxa"/>
        <w:tblLayout w:type="fixed"/>
        <w:tblLook w:val="04A0"/>
      </w:tblPr>
      <w:tblGrid>
        <w:gridCol w:w="10915"/>
      </w:tblGrid>
      <w:tr w:rsidR="006917A5" w:rsidRPr="008859B4">
        <w:tc>
          <w:tcPr>
            <w:tcW w:w="10915" w:type="dxa"/>
          </w:tcPr>
          <w:p w:rsidR="006917A5" w:rsidRDefault="003A2E79">
            <w:pPr>
              <w:widowControl w:val="0"/>
              <w:jc w:val="both"/>
              <w:rPr>
                <w:rFonts w:asciiTheme="minorHAnsi" w:hAnsiTheme="minorHAnsi" w:cstheme="minorHAnsi"/>
                <w:b/>
                <w:u w:val="single"/>
              </w:rPr>
            </w:pPr>
            <w:r>
              <w:rPr>
                <w:rFonts w:asciiTheme="minorHAnsi" w:hAnsiTheme="minorHAnsi" w:cstheme="minorHAnsi"/>
                <w:b/>
                <w:u w:val="single"/>
              </w:rPr>
              <w:t>Document 1:</w:t>
            </w:r>
            <w:r>
              <w:rPr>
                <w:rFonts w:asciiTheme="minorHAnsi" w:hAnsiTheme="minorHAnsi" w:cstheme="minorHAnsi"/>
                <w:b/>
                <w:u w:val="single"/>
              </w:rPr>
              <w:t xml:space="preserve"> Les fonctions de l’OMS</w:t>
            </w:r>
          </w:p>
          <w:p w:rsidR="006917A5" w:rsidRDefault="003A2E79">
            <w:pPr>
              <w:widowControl w:val="0"/>
              <w:jc w:val="center"/>
              <w:rPr>
                <w:rFonts w:asciiTheme="minorHAnsi" w:hAnsiTheme="minorHAnsi" w:cstheme="minorHAnsi"/>
                <w:b/>
                <w:bCs/>
                <w:color w:val="000000" w:themeColor="text1"/>
                <w:highlight w:val="yellow"/>
              </w:rPr>
            </w:pPr>
            <w:r>
              <w:rPr>
                <w:noProof/>
              </w:rPr>
              <w:drawing>
                <wp:inline distT="0" distB="0" distL="0" distR="0">
                  <wp:extent cx="4400550" cy="3250565"/>
                  <wp:effectExtent l="0" t="0" r="0" b="0"/>
                  <wp:docPr id="25"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8"/>
                          <pic:cNvPicPr>
                            <a:picLocks noChangeAspect="1" noChangeArrowheads="1"/>
                          </pic:cNvPicPr>
                        </pic:nvPicPr>
                        <pic:blipFill>
                          <a:blip r:embed="rId48"/>
                          <a:stretch>
                            <a:fillRect/>
                          </a:stretch>
                        </pic:blipFill>
                        <pic:spPr bwMode="auto">
                          <a:xfrm>
                            <a:off x="0" y="0"/>
                            <a:ext cx="4400550" cy="3250565"/>
                          </a:xfrm>
                          <a:prstGeom prst="rect">
                            <a:avLst/>
                          </a:prstGeom>
                          <a:noFill/>
                        </pic:spPr>
                      </pic:pic>
                    </a:graphicData>
                  </a:graphic>
                </wp:inline>
              </w:drawing>
            </w:r>
          </w:p>
          <w:p w:rsidR="006917A5" w:rsidRDefault="003A2E79">
            <w:pPr>
              <w:widowControl w:val="0"/>
              <w:jc w:val="right"/>
              <w:rPr>
                <w:rFonts w:asciiTheme="minorHAnsi" w:hAnsiTheme="minorHAnsi" w:cstheme="minorHAnsi"/>
                <w:i/>
                <w:iCs/>
                <w:sz w:val="20"/>
                <w:szCs w:val="20"/>
                <w:lang w:val="en-US"/>
              </w:rPr>
            </w:pPr>
            <w:r>
              <w:rPr>
                <w:rFonts w:asciiTheme="minorHAnsi" w:hAnsiTheme="minorHAnsi" w:cstheme="minorHAnsi"/>
                <w:i/>
                <w:iCs/>
                <w:sz w:val="20"/>
                <w:szCs w:val="20"/>
                <w:lang w:val="en-US"/>
              </w:rPr>
              <w:t>Source : Manuel Delagrave, Terminale ST2S, STSS , edition 2020, p21</w:t>
            </w:r>
          </w:p>
          <w:p w:rsidR="006917A5" w:rsidRDefault="006917A5">
            <w:pPr>
              <w:widowControl w:val="0"/>
              <w:rPr>
                <w:rFonts w:asciiTheme="minorHAnsi" w:hAnsiTheme="minorHAnsi" w:cstheme="minorHAnsi"/>
                <w:i/>
                <w:iCs/>
                <w:sz w:val="20"/>
                <w:szCs w:val="20"/>
                <w:lang w:val="en-US"/>
              </w:rPr>
            </w:pPr>
          </w:p>
        </w:tc>
      </w:tr>
      <w:tr w:rsidR="006917A5">
        <w:tc>
          <w:tcPr>
            <w:tcW w:w="10915" w:type="dxa"/>
          </w:tcPr>
          <w:p w:rsidR="006917A5" w:rsidRDefault="003A2E79">
            <w:pPr>
              <w:widowControl w:val="0"/>
              <w:rPr>
                <w:rFonts w:asciiTheme="minorHAnsi" w:hAnsiTheme="minorHAnsi" w:cstheme="minorHAnsi"/>
                <w:b/>
                <w:bCs/>
                <w:u w:val="single"/>
              </w:rPr>
            </w:pPr>
            <w:r>
              <w:rPr>
                <w:rFonts w:asciiTheme="minorHAnsi" w:hAnsiTheme="minorHAnsi" w:cstheme="minorHAnsi"/>
                <w:b/>
                <w:bCs/>
                <w:u w:val="single"/>
              </w:rPr>
              <w:t>Document 2 : Le règlement sanitaire international</w:t>
            </w:r>
          </w:p>
          <w:p w:rsidR="006917A5" w:rsidRDefault="003A2E79">
            <w:pPr>
              <w:widowControl w:val="0"/>
              <w:jc w:val="both"/>
              <w:rPr>
                <w:rFonts w:asciiTheme="minorHAnsi" w:hAnsiTheme="minorHAnsi" w:cstheme="minorHAnsi"/>
              </w:rPr>
            </w:pPr>
            <w:r>
              <w:rPr>
                <w:rFonts w:asciiTheme="minorHAnsi" w:hAnsiTheme="minorHAnsi" w:cstheme="minorHAnsi"/>
              </w:rPr>
              <w:t>La mondialisation croissante des échanges implique une augmentation des flux internationaux de voyageurs et de</w:t>
            </w:r>
            <w:r>
              <w:rPr>
                <w:rFonts w:asciiTheme="minorHAnsi" w:hAnsiTheme="minorHAnsi" w:cstheme="minorHAnsi"/>
              </w:rPr>
              <w:t xml:space="preserve"> marchandises qui peut favoriser la propagation des maladies infectieuses. Dorénavant, une crise sanitaire dans un pays peut avoir des répercussions très rapides sur l’activité et l’économie dans de nombreuses parties du monde, comme en ont témoigné les cr</w:t>
            </w:r>
            <w:r>
              <w:rPr>
                <w:rFonts w:asciiTheme="minorHAnsi" w:hAnsiTheme="minorHAnsi" w:cstheme="minorHAnsi"/>
              </w:rPr>
              <w:t>ises liées au syndrome respiratoire aigu sévère (SRAS) en 2003, la pandémie grippale associée au virus A(H1N1) en 2009, ou l’épidémie du virus Ebola en 2014. Dans ce contexte, il est nécessaire de bénéficier au niveau mondial d’un réseau d’alerte et de rép</w:t>
            </w:r>
            <w:r>
              <w:rPr>
                <w:rFonts w:asciiTheme="minorHAnsi" w:hAnsiTheme="minorHAnsi" w:cstheme="minorHAnsi"/>
              </w:rPr>
              <w:t xml:space="preserve">onse performant. La révision de 2005 du Règlement sanitaire international (RSI), vise à mettre en place ce réseau en couvrant les maladies infectieuses mais également tout événement pouvant potentiellement avoir des conséquences sanitaires internationales </w:t>
            </w:r>
            <w:r>
              <w:rPr>
                <w:rFonts w:asciiTheme="minorHAnsi" w:hAnsiTheme="minorHAnsi" w:cstheme="minorHAnsi"/>
              </w:rPr>
              <w:t>(connu ou inconnu). Adopté par 196 états, l’objectif du RSI est d’assurer le maximum de protection contre la propagation internationale des menaces sanitaires, tout en limitant les entraves au trafic international. Le RSI est ainsi le seul instrument inter</w:t>
            </w:r>
            <w:r>
              <w:rPr>
                <w:rFonts w:asciiTheme="minorHAnsi" w:hAnsiTheme="minorHAnsi" w:cstheme="minorHAnsi"/>
              </w:rPr>
              <w:t>national juridiquement contraignant en matière de sécurité sanitaire.</w:t>
            </w:r>
          </w:p>
          <w:p w:rsidR="006917A5" w:rsidRDefault="006917A5">
            <w:pPr>
              <w:widowControl w:val="0"/>
              <w:rPr>
                <w:rFonts w:asciiTheme="minorHAnsi" w:hAnsiTheme="minorHAnsi" w:cstheme="minorHAnsi"/>
              </w:rPr>
            </w:pPr>
            <w:bookmarkStart w:id="1" w:name="_Hlk51013091"/>
            <w:bookmarkEnd w:id="1"/>
          </w:p>
          <w:p w:rsidR="006917A5" w:rsidRDefault="003A2E79">
            <w:pPr>
              <w:widowControl w:val="0"/>
              <w:outlineLvl w:val="2"/>
              <w:rPr>
                <w:rFonts w:asciiTheme="minorHAnsi" w:hAnsiTheme="minorHAnsi" w:cstheme="minorHAnsi"/>
                <w:b/>
                <w:bCs/>
              </w:rPr>
            </w:pPr>
            <w:r>
              <w:rPr>
                <w:rFonts w:asciiTheme="minorHAnsi" w:hAnsiTheme="minorHAnsi" w:cstheme="minorHAnsi"/>
                <w:b/>
                <w:bCs/>
              </w:rPr>
              <w:t>Les objectifs du RSI</w:t>
            </w:r>
          </w:p>
          <w:p w:rsidR="006917A5" w:rsidRDefault="003A2E79">
            <w:pPr>
              <w:widowControl w:val="0"/>
              <w:rPr>
                <w:rFonts w:asciiTheme="minorHAnsi" w:hAnsiTheme="minorHAnsi" w:cstheme="minorHAnsi"/>
              </w:rPr>
            </w:pPr>
            <w:r>
              <w:rPr>
                <w:rFonts w:asciiTheme="minorHAnsi" w:hAnsiTheme="minorHAnsi" w:cstheme="minorHAnsi"/>
                <w:b/>
                <w:bCs/>
              </w:rPr>
              <w:t>Le Règlement sanitaire international a pour but de :</w:t>
            </w:r>
          </w:p>
          <w:p w:rsidR="006917A5" w:rsidRDefault="003A2E79">
            <w:pPr>
              <w:widowControl w:val="0"/>
              <w:numPr>
                <w:ilvl w:val="0"/>
                <w:numId w:val="2"/>
              </w:numPr>
              <w:rPr>
                <w:rFonts w:asciiTheme="minorHAnsi" w:hAnsiTheme="minorHAnsi" w:cstheme="minorHAnsi"/>
              </w:rPr>
            </w:pPr>
            <w:r>
              <w:rPr>
                <w:rFonts w:asciiTheme="minorHAnsi" w:hAnsiTheme="minorHAnsi" w:cstheme="minorHAnsi"/>
              </w:rPr>
              <w:t>Détecter, de réduire ou d’éliminer les sources de propagation de l’infection ;</w:t>
            </w:r>
          </w:p>
          <w:p w:rsidR="006917A5" w:rsidRDefault="003A2E79">
            <w:pPr>
              <w:widowControl w:val="0"/>
              <w:numPr>
                <w:ilvl w:val="0"/>
                <w:numId w:val="2"/>
              </w:numPr>
              <w:rPr>
                <w:rFonts w:asciiTheme="minorHAnsi" w:hAnsiTheme="minorHAnsi" w:cstheme="minorHAnsi"/>
              </w:rPr>
            </w:pPr>
            <w:r>
              <w:rPr>
                <w:rFonts w:asciiTheme="minorHAnsi" w:hAnsiTheme="minorHAnsi" w:cstheme="minorHAnsi"/>
              </w:rPr>
              <w:t xml:space="preserve">D’améliorer la surveillance </w:t>
            </w:r>
            <w:r>
              <w:rPr>
                <w:rFonts w:asciiTheme="minorHAnsi" w:hAnsiTheme="minorHAnsi" w:cstheme="minorHAnsi"/>
              </w:rPr>
              <w:t>sanitaire et la réponse aux urgences sanitaires dans les ports et aéroports et autour de ceux-ci ;</w:t>
            </w:r>
          </w:p>
          <w:p w:rsidR="006917A5" w:rsidRDefault="003A2E79">
            <w:pPr>
              <w:widowControl w:val="0"/>
              <w:numPr>
                <w:ilvl w:val="0"/>
                <w:numId w:val="2"/>
              </w:numPr>
              <w:rPr>
                <w:rFonts w:asciiTheme="minorHAnsi" w:hAnsiTheme="minorHAnsi" w:cstheme="minorHAnsi"/>
              </w:rPr>
            </w:pPr>
            <w:r>
              <w:rPr>
                <w:rFonts w:asciiTheme="minorHAnsi" w:hAnsiTheme="minorHAnsi" w:cstheme="minorHAnsi"/>
              </w:rPr>
              <w:t>Prévenir la dissémination des vecteurs ;</w:t>
            </w:r>
          </w:p>
          <w:p w:rsidR="006917A5" w:rsidRDefault="003A2E79">
            <w:pPr>
              <w:widowControl w:val="0"/>
              <w:numPr>
                <w:ilvl w:val="0"/>
                <w:numId w:val="2"/>
              </w:numPr>
              <w:rPr>
                <w:rFonts w:asciiTheme="minorHAnsi" w:hAnsiTheme="minorHAnsi" w:cstheme="minorHAnsi"/>
              </w:rPr>
            </w:pPr>
            <w:r>
              <w:rPr>
                <w:rFonts w:asciiTheme="minorHAnsi" w:hAnsiTheme="minorHAnsi" w:cstheme="minorHAnsi"/>
              </w:rPr>
              <w:t>Entraver le moins possible les voyages et les échanges internationaux</w:t>
            </w:r>
          </w:p>
          <w:p w:rsidR="006917A5" w:rsidRDefault="003A2E79">
            <w:pPr>
              <w:widowControl w:val="0"/>
              <w:jc w:val="right"/>
              <w:rPr>
                <w:rFonts w:asciiTheme="minorHAnsi" w:hAnsiTheme="minorHAnsi" w:cstheme="minorHAnsi"/>
                <w:bCs/>
                <w:i/>
                <w:iCs/>
                <w:sz w:val="20"/>
                <w:szCs w:val="20"/>
              </w:rPr>
            </w:pPr>
            <w:r>
              <w:rPr>
                <w:rFonts w:asciiTheme="minorHAnsi" w:hAnsiTheme="minorHAnsi"/>
                <w:i/>
                <w:iCs/>
                <w:sz w:val="20"/>
                <w:szCs w:val="20"/>
              </w:rPr>
              <w:t xml:space="preserve">Source : </w:t>
            </w:r>
            <w:hyperlink r:id="rId49">
              <w:r>
                <w:rPr>
                  <w:rFonts w:asciiTheme="minorHAnsi" w:hAnsiTheme="minorHAnsi" w:cstheme="minorHAnsi"/>
                  <w:bCs/>
                  <w:i/>
                  <w:iCs/>
                  <w:sz w:val="20"/>
                  <w:szCs w:val="20"/>
                </w:rPr>
                <w:t>https://solidarites-sante.gouv.fr/-</w:t>
              </w:r>
            </w:hyperlink>
            <w:r>
              <w:rPr>
                <w:rFonts w:asciiTheme="minorHAnsi" w:hAnsiTheme="minorHAnsi" w:cstheme="minorHAnsi"/>
                <w:bCs/>
                <w:i/>
                <w:iCs/>
                <w:sz w:val="20"/>
                <w:szCs w:val="20"/>
              </w:rPr>
              <w:t xml:space="preserve"> 15 février 2019</w:t>
            </w:r>
          </w:p>
        </w:tc>
      </w:tr>
    </w:tbl>
    <w:p w:rsidR="006917A5" w:rsidRDefault="003A2E79">
      <w:pPr>
        <w:suppressAutoHyphens w:val="0"/>
        <w:spacing w:beforeAutospacing="1" w:afterAutospacing="1"/>
        <w:outlineLvl w:val="0"/>
        <w:rPr>
          <w:rFonts w:asciiTheme="minorHAnsi" w:hAnsiTheme="minorHAnsi" w:cstheme="minorHAnsi"/>
          <w:b/>
          <w:bCs/>
          <w:kern w:val="2"/>
          <w:sz w:val="32"/>
          <w:szCs w:val="32"/>
          <w:u w:val="single"/>
        </w:rPr>
      </w:pPr>
      <w:r>
        <w:rPr>
          <w:rFonts w:asciiTheme="minorHAnsi" w:hAnsiTheme="minorHAnsi" w:cstheme="minorHAnsi"/>
          <w:b/>
          <w:bCs/>
          <w:kern w:val="2"/>
          <w:sz w:val="32"/>
          <w:szCs w:val="32"/>
          <w:u w:val="single"/>
        </w:rPr>
        <w:t>Annexe 1</w:t>
      </w:r>
      <w:r w:rsidR="008859B4">
        <w:rPr>
          <w:rFonts w:asciiTheme="minorHAnsi" w:hAnsiTheme="minorHAnsi" w:cstheme="minorHAnsi"/>
          <w:b/>
          <w:bCs/>
          <w:kern w:val="2"/>
          <w:sz w:val="32"/>
          <w:szCs w:val="32"/>
          <w:u w:val="single"/>
        </w:rPr>
        <w:t>0</w:t>
      </w:r>
      <w:r>
        <w:rPr>
          <w:rFonts w:asciiTheme="minorHAnsi" w:hAnsiTheme="minorHAnsi" w:cstheme="minorHAnsi"/>
          <w:b/>
          <w:bCs/>
          <w:kern w:val="2"/>
          <w:sz w:val="32"/>
          <w:szCs w:val="32"/>
          <w:u w:val="single"/>
        </w:rPr>
        <w:t> : La mobilisation de l’OMS dans la santé mentale</w:t>
      </w:r>
    </w:p>
    <w:p w:rsidR="006917A5" w:rsidRDefault="003A2E79">
      <w:r>
        <w:rPr>
          <w:noProof/>
        </w:rPr>
        <w:lastRenderedPageBreak/>
        <w:drawing>
          <wp:inline distT="0" distB="0" distL="0" distR="0">
            <wp:extent cx="4545330" cy="1905000"/>
            <wp:effectExtent l="0" t="0" r="0" b="0"/>
            <wp:docPr id="26"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1"/>
                    <pic:cNvPicPr>
                      <a:picLocks noChangeAspect="1" noChangeArrowheads="1"/>
                    </pic:cNvPicPr>
                  </pic:nvPicPr>
                  <pic:blipFill>
                    <a:blip r:embed="rId50"/>
                    <a:stretch>
                      <a:fillRect/>
                    </a:stretch>
                  </pic:blipFill>
                  <pic:spPr bwMode="auto">
                    <a:xfrm>
                      <a:off x="0" y="0"/>
                      <a:ext cx="4545330" cy="1905000"/>
                    </a:xfrm>
                    <a:prstGeom prst="rect">
                      <a:avLst/>
                    </a:prstGeom>
                    <a:noFill/>
                  </pic:spPr>
                </pic:pic>
              </a:graphicData>
            </a:graphic>
          </wp:inline>
        </w:drawing>
      </w:r>
      <w:r>
        <w:rPr>
          <w:noProof/>
        </w:rPr>
        <w:drawing>
          <wp:inline distT="0" distB="0" distL="0" distR="0">
            <wp:extent cx="1962150" cy="1962150"/>
            <wp:effectExtent l="0" t="0" r="0" b="0"/>
            <wp:docPr id="27"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0"/>
                    <pic:cNvPicPr>
                      <a:picLocks noChangeAspect="1" noChangeArrowheads="1"/>
                    </pic:cNvPicPr>
                  </pic:nvPicPr>
                  <pic:blipFill>
                    <a:blip r:embed="rId51"/>
                    <a:stretch>
                      <a:fillRect/>
                    </a:stretch>
                  </pic:blipFill>
                  <pic:spPr bwMode="auto">
                    <a:xfrm>
                      <a:off x="0" y="0"/>
                      <a:ext cx="1962150" cy="1962150"/>
                    </a:xfrm>
                    <a:prstGeom prst="rect">
                      <a:avLst/>
                    </a:prstGeom>
                    <a:noFill/>
                  </pic:spPr>
                </pic:pic>
              </a:graphicData>
            </a:graphic>
          </wp:inline>
        </w:drawing>
      </w:r>
    </w:p>
    <w:p w:rsidR="006917A5" w:rsidRDefault="006917A5">
      <w:pPr>
        <w:jc w:val="right"/>
      </w:pPr>
    </w:p>
    <w:p w:rsidR="006917A5" w:rsidRDefault="006917A5">
      <w:pPr>
        <w:jc w:val="center"/>
      </w:pPr>
    </w:p>
    <w:p w:rsidR="006917A5" w:rsidRDefault="003A2E79">
      <w:pPr>
        <w:jc w:val="right"/>
      </w:pPr>
      <w:r>
        <w:rPr>
          <w:rFonts w:asciiTheme="minorHAnsi" w:hAnsiTheme="minorHAnsi" w:cstheme="minorHAnsi"/>
          <w:i/>
          <w:iCs/>
          <w:sz w:val="20"/>
          <w:szCs w:val="20"/>
          <w:u w:val="single"/>
        </w:rPr>
        <w:t>https://www.santepubliquefrance.fr/sites/default/files/rdd/document/571357_spf00004122.p</w:t>
      </w:r>
      <w:r>
        <w:rPr>
          <w:rFonts w:asciiTheme="minorHAnsi" w:hAnsiTheme="minorHAnsi" w:cstheme="minorHAnsi"/>
          <w:i/>
          <w:iCs/>
          <w:sz w:val="20"/>
          <w:szCs w:val="20"/>
          <w:u w:val="single"/>
        </w:rPr>
        <w:t>df</w:t>
      </w:r>
    </w:p>
    <w:p w:rsidR="006917A5" w:rsidRDefault="006917A5">
      <w:pPr>
        <w:rPr>
          <w:rFonts w:asciiTheme="minorHAnsi" w:hAnsiTheme="minorHAnsi" w:cstheme="minorHAnsi"/>
          <w:b/>
          <w:bCs/>
          <w:sz w:val="28"/>
          <w:szCs w:val="28"/>
          <w:u w:val="single"/>
        </w:rPr>
      </w:pPr>
    </w:p>
    <w:p w:rsidR="006917A5" w:rsidRDefault="003A2E79">
      <w:pPr>
        <w:rPr>
          <w:rFonts w:asciiTheme="minorHAnsi" w:hAnsiTheme="minorHAnsi" w:cstheme="minorHAnsi"/>
          <w:b/>
          <w:bCs/>
          <w:sz w:val="32"/>
          <w:szCs w:val="32"/>
          <w:u w:val="single"/>
        </w:rPr>
      </w:pPr>
      <w:r>
        <w:rPr>
          <w:rFonts w:asciiTheme="minorHAnsi" w:hAnsiTheme="minorHAnsi" w:cstheme="minorHAnsi"/>
          <w:b/>
          <w:bCs/>
          <w:sz w:val="32"/>
          <w:szCs w:val="32"/>
          <w:u w:val="single"/>
        </w:rPr>
        <w:t>Annexe 1</w:t>
      </w:r>
      <w:r w:rsidR="008859B4">
        <w:rPr>
          <w:rFonts w:asciiTheme="minorHAnsi" w:hAnsiTheme="minorHAnsi" w:cstheme="minorHAnsi"/>
          <w:b/>
          <w:bCs/>
          <w:sz w:val="32"/>
          <w:szCs w:val="32"/>
          <w:u w:val="single"/>
        </w:rPr>
        <w:t>1</w:t>
      </w:r>
      <w:r>
        <w:rPr>
          <w:rFonts w:asciiTheme="minorHAnsi" w:hAnsiTheme="minorHAnsi" w:cstheme="minorHAnsi"/>
          <w:b/>
          <w:bCs/>
          <w:sz w:val="32"/>
          <w:szCs w:val="32"/>
          <w:u w:val="single"/>
        </w:rPr>
        <w:t> : La place de l’usager dans les politiques de santé publique</w:t>
      </w:r>
    </w:p>
    <w:p w:rsidR="006917A5" w:rsidRDefault="006917A5">
      <w:pPr>
        <w:rPr>
          <w:rFonts w:asciiTheme="minorHAnsi" w:hAnsiTheme="minorHAnsi" w:cstheme="minorHAnsi"/>
          <w:b/>
          <w:bCs/>
          <w:sz w:val="20"/>
          <w:szCs w:val="20"/>
        </w:rPr>
      </w:pPr>
    </w:p>
    <w:tbl>
      <w:tblPr>
        <w:tblStyle w:val="Grilledutableau"/>
        <w:tblW w:w="5000" w:type="pct"/>
        <w:tblInd w:w="-147" w:type="dxa"/>
        <w:tblLayout w:type="fixed"/>
        <w:tblLook w:val="04A0"/>
      </w:tblPr>
      <w:tblGrid>
        <w:gridCol w:w="10762"/>
      </w:tblGrid>
      <w:tr w:rsidR="006917A5">
        <w:tc>
          <w:tcPr>
            <w:tcW w:w="10546" w:type="dxa"/>
          </w:tcPr>
          <w:p w:rsidR="006917A5" w:rsidRDefault="003A2E79">
            <w:pPr>
              <w:widowControl w:val="0"/>
              <w:rPr>
                <w:rFonts w:asciiTheme="minorHAnsi" w:hAnsiTheme="minorHAnsi"/>
                <w:b/>
                <w:color w:val="000000" w:themeColor="text1"/>
                <w:u w:val="single"/>
              </w:rPr>
            </w:pPr>
            <w:r>
              <w:rPr>
                <w:rFonts w:asciiTheme="minorHAnsi" w:hAnsiTheme="minorHAnsi"/>
                <w:b/>
                <w:color w:val="000000" w:themeColor="text1"/>
                <w:u w:val="single"/>
              </w:rPr>
              <w:t>Document 1 : Qu’est ce que la démocratie sanitaire ?</w:t>
            </w:r>
          </w:p>
          <w:p w:rsidR="006917A5" w:rsidRDefault="003A2E79">
            <w:pPr>
              <w:widowControl w:val="0"/>
              <w:rPr>
                <w:rFonts w:asciiTheme="minorHAnsi" w:hAnsiTheme="minorHAnsi"/>
                <w:color w:val="000000" w:themeColor="text1"/>
              </w:rPr>
            </w:pPr>
            <w:r>
              <w:rPr>
                <w:rFonts w:asciiTheme="minorHAnsi" w:hAnsiTheme="minorHAnsi"/>
                <w:color w:val="000000" w:themeColor="text1"/>
              </w:rPr>
              <w:t xml:space="preserve">La démocratie sanitaire est une démarche qui vise à associer l'ensemble des acteurs du système de santé dans l'élaboration et </w:t>
            </w:r>
            <w:r>
              <w:rPr>
                <w:rFonts w:asciiTheme="minorHAnsi" w:hAnsiTheme="minorHAnsi"/>
                <w:color w:val="000000" w:themeColor="text1"/>
              </w:rPr>
              <w:t>la mise en œuvre de la politique de santé, dans un esprit de dialogue et de concertation. Faire vivre la démocratie sanitaire nécessite de développer la concertation et le débat public, d’améliorer la participation des acteurs de santé et de promouvoir les</w:t>
            </w:r>
            <w:r>
              <w:rPr>
                <w:rFonts w:asciiTheme="minorHAnsi" w:hAnsiTheme="minorHAnsi"/>
                <w:color w:val="000000" w:themeColor="text1"/>
              </w:rPr>
              <w:t xml:space="preserve"> droits individuels et collectifs des usagers.</w:t>
            </w:r>
          </w:p>
          <w:p w:rsidR="006917A5" w:rsidRDefault="003A2E79">
            <w:pPr>
              <w:widowControl w:val="0"/>
              <w:jc w:val="right"/>
              <w:rPr>
                <w:rFonts w:asciiTheme="minorHAnsi" w:hAnsiTheme="minorHAnsi" w:cstheme="minorHAnsi"/>
                <w:i/>
                <w:color w:val="000000" w:themeColor="text1"/>
                <w:sz w:val="20"/>
                <w:szCs w:val="20"/>
              </w:rPr>
            </w:pPr>
            <w:r>
              <w:rPr>
                <w:rFonts w:asciiTheme="minorHAnsi" w:hAnsiTheme="minorHAnsi" w:cstheme="minorHAnsi"/>
                <w:i/>
                <w:sz w:val="20"/>
                <w:szCs w:val="20"/>
              </w:rPr>
              <w:t xml:space="preserve">Source : « Qu’est-ce que la démocratie sanitaire ? », </w:t>
            </w:r>
            <w:hyperlink r:id="rId52">
              <w:r>
                <w:rPr>
                  <w:rFonts w:asciiTheme="minorHAnsi" w:hAnsiTheme="minorHAnsi" w:cstheme="minorHAnsi"/>
                  <w:i/>
                  <w:sz w:val="20"/>
                  <w:szCs w:val="20"/>
                </w:rPr>
                <w:t>https://www.ars.sante.fr/</w:t>
              </w:r>
            </w:hyperlink>
          </w:p>
        </w:tc>
      </w:tr>
      <w:tr w:rsidR="006917A5">
        <w:tc>
          <w:tcPr>
            <w:tcW w:w="10546" w:type="dxa"/>
          </w:tcPr>
          <w:p w:rsidR="006917A5" w:rsidRDefault="003A2E79">
            <w:pPr>
              <w:widowControl w:val="0"/>
              <w:rPr>
                <w:rFonts w:asciiTheme="minorHAnsi" w:hAnsiTheme="minorHAnsi"/>
                <w:b/>
                <w:color w:val="000000" w:themeColor="text1"/>
                <w:u w:val="single"/>
              </w:rPr>
            </w:pPr>
            <w:r>
              <w:rPr>
                <w:rFonts w:asciiTheme="minorHAnsi" w:hAnsiTheme="minorHAnsi"/>
                <w:b/>
                <w:color w:val="000000" w:themeColor="text1"/>
                <w:u w:val="single"/>
              </w:rPr>
              <w:t>Document 2 : La stratégie nationale de santé, un défi pour la démocratie sanitaire</w:t>
            </w:r>
          </w:p>
          <w:p w:rsidR="006917A5" w:rsidRDefault="003A2E79">
            <w:pPr>
              <w:widowControl w:val="0"/>
              <w:jc w:val="both"/>
              <w:rPr>
                <w:rFonts w:asciiTheme="minorHAnsi" w:hAnsiTheme="minorHAnsi"/>
                <w:bCs/>
                <w:color w:val="000000" w:themeColor="text1"/>
              </w:rPr>
            </w:pPr>
            <w:r>
              <w:rPr>
                <w:rFonts w:asciiTheme="minorHAnsi" w:hAnsiTheme="minorHAnsi"/>
                <w:bCs/>
                <w:color w:val="000000" w:themeColor="text1"/>
              </w:rPr>
              <w:t>L’article L1411-1 [du Code de la santé publique] prévoit que « préalablement à son adoption ou à sa révision, le Gouvernement procède à une consultation publique sur les objectifs et les priorités du projet de stratégie nationale de santé ». La responsabil</w:t>
            </w:r>
            <w:r>
              <w:rPr>
                <w:rFonts w:asciiTheme="minorHAnsi" w:hAnsiTheme="minorHAnsi"/>
                <w:bCs/>
                <w:color w:val="000000" w:themeColor="text1"/>
              </w:rPr>
              <w:t>ité de la consultation incombe au ministre chargé de la santé. Le ministre peut proposer des débats publics dans les régions, en concertation avec les conférences régionales de santé de la santé et de l’autonomie. La synthèse des avis recueillis lors de la</w:t>
            </w:r>
            <w:r>
              <w:rPr>
                <w:rFonts w:asciiTheme="minorHAnsi" w:hAnsiTheme="minorHAnsi"/>
                <w:bCs/>
                <w:color w:val="000000" w:themeColor="text1"/>
              </w:rPr>
              <w:t xml:space="preserve"> consultation est rendue publique.</w:t>
            </w:r>
          </w:p>
          <w:p w:rsidR="006917A5" w:rsidRDefault="003A2E79">
            <w:pPr>
              <w:widowControl w:val="0"/>
              <w:jc w:val="right"/>
              <w:rPr>
                <w:rFonts w:asciiTheme="minorHAnsi" w:hAnsiTheme="minorHAnsi" w:cstheme="minorHAnsi"/>
                <w:i/>
                <w:iCs/>
                <w:sz w:val="20"/>
                <w:szCs w:val="20"/>
              </w:rPr>
            </w:pPr>
            <w:r>
              <w:rPr>
                <w:rFonts w:asciiTheme="minorHAnsi" w:hAnsiTheme="minorHAnsi" w:cstheme="minorHAnsi"/>
                <w:i/>
                <w:iCs/>
                <w:sz w:val="20"/>
                <w:szCs w:val="20"/>
              </w:rPr>
              <w:t>Source : Didier Tabuteau, « Organisation sanitaire, politiques de santé », Journal de droit de la santé et de l’assurance maladie, n°18, 2018</w:t>
            </w:r>
          </w:p>
        </w:tc>
      </w:tr>
      <w:tr w:rsidR="006917A5">
        <w:tc>
          <w:tcPr>
            <w:tcW w:w="10546" w:type="dxa"/>
          </w:tcPr>
          <w:p w:rsidR="006917A5" w:rsidRDefault="003A2E79">
            <w:pPr>
              <w:widowControl w:val="0"/>
              <w:rPr>
                <w:rFonts w:asciiTheme="minorHAnsi" w:hAnsiTheme="minorHAnsi"/>
                <w:b/>
                <w:color w:val="000000" w:themeColor="text1"/>
                <w:u w:val="single"/>
              </w:rPr>
            </w:pPr>
            <w:r>
              <w:rPr>
                <w:rFonts w:asciiTheme="minorHAnsi" w:hAnsiTheme="minorHAnsi"/>
                <w:b/>
                <w:color w:val="000000" w:themeColor="text1"/>
                <w:u w:val="single"/>
              </w:rPr>
              <w:t>Document 3 : Des acteurs de démocratie sanitaire au niveau territorial</w:t>
            </w:r>
          </w:p>
          <w:p w:rsidR="006917A5" w:rsidRDefault="003A2E79">
            <w:pPr>
              <w:widowControl w:val="0"/>
              <w:jc w:val="both"/>
              <w:rPr>
                <w:rFonts w:asciiTheme="minorHAnsi" w:hAnsiTheme="minorHAnsi" w:cstheme="minorHAnsi"/>
                <w:bCs/>
                <w:color w:val="000000" w:themeColor="text1"/>
              </w:rPr>
            </w:pPr>
            <w:r>
              <w:rPr>
                <w:rFonts w:asciiTheme="minorHAnsi" w:hAnsiTheme="minorHAnsi" w:cstheme="minorHAnsi"/>
                <w:bCs/>
                <w:color w:val="000000" w:themeColor="text1"/>
              </w:rPr>
              <w:t xml:space="preserve">Depuis </w:t>
            </w:r>
            <w:r>
              <w:rPr>
                <w:rFonts w:asciiTheme="minorHAnsi" w:hAnsiTheme="minorHAnsi" w:cstheme="minorHAnsi"/>
                <w:bCs/>
                <w:color w:val="000000" w:themeColor="text1"/>
              </w:rPr>
              <w:t>la loi du 4 mars 2002, l’usager est un acteur incontournable du système de santé dans lequel il est susceptible d’intervenir directement ou par l’intermédiaire de ses représentants. Ces représentants des usagers siègent dans différentes instances au niveau</w:t>
            </w:r>
            <w:r>
              <w:rPr>
                <w:rFonts w:asciiTheme="minorHAnsi" w:hAnsiTheme="minorHAnsi" w:cstheme="minorHAnsi"/>
                <w:bCs/>
                <w:color w:val="000000" w:themeColor="text1"/>
              </w:rPr>
              <w:t xml:space="preserve"> national, régional, territorial ou dans les établissements de santé. Les représentants des usagers sont des personnes membres d’associations de patients, d’usagers, de consommateurs ou familiales qui doivent être obligatoirement agréées au niveau national</w:t>
            </w:r>
            <w:r>
              <w:rPr>
                <w:rFonts w:asciiTheme="minorHAnsi" w:hAnsiTheme="minorHAnsi" w:cstheme="minorHAnsi"/>
                <w:bCs/>
                <w:color w:val="000000" w:themeColor="text1"/>
              </w:rPr>
              <w:t xml:space="preserve"> ou régional.</w:t>
            </w:r>
          </w:p>
          <w:p w:rsidR="006917A5" w:rsidRDefault="003A2E79">
            <w:pPr>
              <w:widowControl w:val="0"/>
              <w:jc w:val="both"/>
              <w:rPr>
                <w:rFonts w:asciiTheme="minorHAnsi" w:hAnsiTheme="minorHAnsi" w:cstheme="minorHAnsi"/>
                <w:bCs/>
              </w:rPr>
            </w:pPr>
            <w:r>
              <w:rPr>
                <w:rFonts w:asciiTheme="minorHAnsi" w:hAnsiTheme="minorHAnsi" w:cstheme="minorHAnsi"/>
                <w:bCs/>
              </w:rPr>
              <w:t xml:space="preserve">Les représentants des usagers sont amenés à siéger dans différentes instances afin de porter la parole des personnes malades, de leurs familles et de leurs proches, de défendre leurs intérêts et de contribuer à la définition des besoins, des </w:t>
            </w:r>
            <w:r>
              <w:rPr>
                <w:rFonts w:asciiTheme="minorHAnsi" w:hAnsiTheme="minorHAnsi" w:cstheme="minorHAnsi"/>
                <w:bCs/>
              </w:rPr>
              <w:t>attentes, des orientations ou évolutions souhaitables :</w:t>
            </w:r>
          </w:p>
          <w:p w:rsidR="006917A5" w:rsidRDefault="003A2E79">
            <w:pPr>
              <w:pStyle w:val="Paragraphedeliste"/>
              <w:widowControl w:val="0"/>
              <w:numPr>
                <w:ilvl w:val="0"/>
                <w:numId w:val="1"/>
              </w:numPr>
              <w:jc w:val="both"/>
              <w:rPr>
                <w:rFonts w:asciiTheme="minorHAnsi" w:hAnsiTheme="minorHAnsi" w:cstheme="minorHAnsi"/>
                <w:bCs/>
              </w:rPr>
            </w:pPr>
            <w:r>
              <w:rPr>
                <w:rFonts w:asciiTheme="minorHAnsi" w:hAnsiTheme="minorHAnsi" w:cstheme="minorHAnsi"/>
                <w:bCs/>
              </w:rPr>
              <w:t>Dans les commissions des usagers des établissements de santé</w:t>
            </w:r>
          </w:p>
          <w:p w:rsidR="006917A5" w:rsidRDefault="003A2E79">
            <w:pPr>
              <w:pStyle w:val="Paragraphedeliste"/>
              <w:widowControl w:val="0"/>
              <w:numPr>
                <w:ilvl w:val="0"/>
                <w:numId w:val="1"/>
              </w:numPr>
              <w:jc w:val="both"/>
              <w:rPr>
                <w:rFonts w:asciiTheme="minorHAnsi" w:hAnsiTheme="minorHAnsi" w:cstheme="minorHAnsi"/>
                <w:bCs/>
              </w:rPr>
            </w:pPr>
            <w:r>
              <w:rPr>
                <w:rFonts w:asciiTheme="minorHAnsi" w:hAnsiTheme="minorHAnsi" w:cstheme="minorHAnsi"/>
                <w:bCs/>
              </w:rPr>
              <w:t>A l’agence régionale de santé</w:t>
            </w:r>
          </w:p>
          <w:p w:rsidR="006917A5" w:rsidRDefault="003A2E79">
            <w:pPr>
              <w:pStyle w:val="Paragraphedeliste"/>
              <w:widowControl w:val="0"/>
              <w:numPr>
                <w:ilvl w:val="0"/>
                <w:numId w:val="1"/>
              </w:numPr>
              <w:jc w:val="both"/>
              <w:rPr>
                <w:rFonts w:asciiTheme="minorHAnsi" w:hAnsiTheme="minorHAnsi" w:cstheme="minorHAnsi"/>
                <w:bCs/>
              </w:rPr>
            </w:pPr>
            <w:r>
              <w:rPr>
                <w:rFonts w:asciiTheme="minorHAnsi" w:hAnsiTheme="minorHAnsi" w:cstheme="minorHAnsi"/>
                <w:bCs/>
              </w:rPr>
              <w:t>A la conférence régionale de santé et de l’autonomie</w:t>
            </w:r>
          </w:p>
          <w:p w:rsidR="006917A5" w:rsidRDefault="003A2E79">
            <w:pPr>
              <w:pStyle w:val="Paragraphedeliste"/>
              <w:widowControl w:val="0"/>
              <w:numPr>
                <w:ilvl w:val="0"/>
                <w:numId w:val="1"/>
              </w:numPr>
              <w:jc w:val="both"/>
              <w:rPr>
                <w:rFonts w:asciiTheme="minorHAnsi" w:hAnsiTheme="minorHAnsi" w:cstheme="minorHAnsi"/>
                <w:bCs/>
              </w:rPr>
            </w:pPr>
            <w:r>
              <w:rPr>
                <w:rFonts w:asciiTheme="minorHAnsi" w:hAnsiTheme="minorHAnsi" w:cstheme="minorHAnsi"/>
                <w:bCs/>
              </w:rPr>
              <w:t>Dans les conseils territoriaux de santé</w:t>
            </w:r>
          </w:p>
          <w:p w:rsidR="006917A5" w:rsidRDefault="003A2E79">
            <w:pPr>
              <w:widowControl w:val="0"/>
              <w:jc w:val="right"/>
              <w:rPr>
                <w:rFonts w:asciiTheme="minorHAnsi" w:hAnsiTheme="minorHAnsi" w:cstheme="minorHAnsi"/>
                <w:bCs/>
                <w:i/>
                <w:iCs/>
                <w:sz w:val="20"/>
                <w:szCs w:val="20"/>
              </w:rPr>
            </w:pPr>
            <w:r>
              <w:rPr>
                <w:rFonts w:asciiTheme="minorHAnsi" w:hAnsiTheme="minorHAnsi" w:cstheme="minorHAnsi"/>
                <w:bCs/>
                <w:i/>
                <w:iCs/>
                <w:sz w:val="20"/>
                <w:szCs w:val="20"/>
              </w:rPr>
              <w:t>Source : Réalisé</w:t>
            </w:r>
            <w:r>
              <w:rPr>
                <w:rFonts w:asciiTheme="minorHAnsi" w:hAnsiTheme="minorHAnsi" w:cstheme="minorHAnsi"/>
                <w:bCs/>
                <w:i/>
                <w:iCs/>
                <w:sz w:val="20"/>
                <w:szCs w:val="20"/>
              </w:rPr>
              <w:t xml:space="preserve"> à partir du site de l’ARS Ile de France</w:t>
            </w:r>
          </w:p>
          <w:p w:rsidR="006917A5" w:rsidRDefault="006917A5">
            <w:pPr>
              <w:widowControl w:val="0"/>
              <w:rPr>
                <w:rFonts w:asciiTheme="minorHAnsi" w:hAnsiTheme="minorHAnsi" w:cstheme="minorHAnsi"/>
                <w:bCs/>
                <w:i/>
                <w:iCs/>
                <w:sz w:val="20"/>
                <w:szCs w:val="20"/>
              </w:rPr>
            </w:pPr>
          </w:p>
        </w:tc>
      </w:tr>
      <w:tr w:rsidR="006917A5">
        <w:tc>
          <w:tcPr>
            <w:tcW w:w="10546" w:type="dxa"/>
          </w:tcPr>
          <w:p w:rsidR="006917A5" w:rsidRDefault="003A2E79">
            <w:pPr>
              <w:widowControl w:val="0"/>
              <w:rPr>
                <w:rFonts w:asciiTheme="minorHAnsi" w:hAnsiTheme="minorHAnsi"/>
                <w:b/>
                <w:color w:val="000000" w:themeColor="text1"/>
                <w:u w:val="single"/>
              </w:rPr>
            </w:pPr>
            <w:r>
              <w:rPr>
                <w:rFonts w:asciiTheme="minorHAnsi" w:hAnsiTheme="minorHAnsi"/>
                <w:b/>
                <w:color w:val="000000" w:themeColor="text1"/>
                <w:u w:val="single"/>
              </w:rPr>
              <w:t>Document 4 : La Conférence nationale de santé</w:t>
            </w:r>
          </w:p>
          <w:p w:rsidR="006917A5" w:rsidRDefault="003A2E79">
            <w:pPr>
              <w:widowControl w:val="0"/>
              <w:jc w:val="both"/>
              <w:rPr>
                <w:rFonts w:asciiTheme="minorHAnsi" w:hAnsiTheme="minorHAnsi"/>
              </w:rPr>
            </w:pPr>
            <w:r>
              <w:rPr>
                <w:rFonts w:asciiTheme="minorHAnsi" w:hAnsiTheme="minorHAnsi"/>
              </w:rPr>
              <w:t>La Conférence nationale de santé (CNS), créée en 1996, renouvelée par la loi de 2004 et étendue par celle de 2009, est une instance administrative consultative de démo</w:t>
            </w:r>
            <w:r>
              <w:rPr>
                <w:rFonts w:asciiTheme="minorHAnsi" w:hAnsiTheme="minorHAnsi"/>
              </w:rPr>
              <w:t>cratie en santé, de dialogue, d’échanges et de concertation entre les différentes composantes de la société civile organisée en matière de santé, investie dans la lutte contre les inégalités sociales et territoriales de santé, attachée au ministre en charg</w:t>
            </w:r>
            <w:r>
              <w:rPr>
                <w:rFonts w:asciiTheme="minorHAnsi" w:hAnsiTheme="minorHAnsi"/>
              </w:rPr>
              <w:t>e de la santé.</w:t>
            </w:r>
          </w:p>
          <w:p w:rsidR="006917A5" w:rsidRDefault="003A2E79">
            <w:pPr>
              <w:widowControl w:val="0"/>
              <w:jc w:val="both"/>
              <w:rPr>
                <w:rFonts w:asciiTheme="minorHAnsi" w:hAnsiTheme="minorHAnsi"/>
              </w:rPr>
            </w:pPr>
            <w:r>
              <w:rPr>
                <w:rFonts w:asciiTheme="minorHAnsi" w:hAnsiTheme="minorHAnsi"/>
              </w:rPr>
              <w:t>La CNS a pour missions :</w:t>
            </w:r>
          </w:p>
          <w:p w:rsidR="006917A5" w:rsidRDefault="003A2E79">
            <w:pPr>
              <w:widowControl w:val="0"/>
              <w:jc w:val="both"/>
              <w:rPr>
                <w:rFonts w:asciiTheme="minorHAnsi" w:hAnsiTheme="minorHAnsi"/>
              </w:rPr>
            </w:pPr>
            <w:r>
              <w:rPr>
                <w:rFonts w:asciiTheme="minorHAnsi" w:hAnsiTheme="minorHAnsi"/>
              </w:rPr>
              <w:t>- De permettre la concertation sur les questions de santé. En particulier, la CNS est consultée par le Gouvernement lors de l'élaboration de la stratégie nationale de santé. Sur saisine ministérielle ou auto-saisine,</w:t>
            </w:r>
            <w:r>
              <w:rPr>
                <w:rFonts w:asciiTheme="minorHAnsi" w:hAnsiTheme="minorHAnsi"/>
              </w:rPr>
              <w:t xml:space="preserve"> elle formule des avis et propositions au Gouvernement sur les plans et programmes qu'il entend mettre en œuvre. Elle formule également des avis ou propositions en vue d'améliorer le système de santé publique ;</w:t>
            </w:r>
          </w:p>
          <w:p w:rsidR="006917A5" w:rsidRDefault="003A2E79">
            <w:pPr>
              <w:widowControl w:val="0"/>
              <w:jc w:val="both"/>
              <w:rPr>
                <w:rFonts w:asciiTheme="minorHAnsi" w:hAnsiTheme="minorHAnsi"/>
              </w:rPr>
            </w:pPr>
            <w:r>
              <w:rPr>
                <w:rFonts w:asciiTheme="minorHAnsi" w:hAnsiTheme="minorHAnsi"/>
              </w:rPr>
              <w:lastRenderedPageBreak/>
              <w:t>- D’élaborer chaque année un rapport sur le r</w:t>
            </w:r>
            <w:r>
              <w:rPr>
                <w:rFonts w:asciiTheme="minorHAnsi" w:hAnsiTheme="minorHAnsi"/>
              </w:rPr>
              <w:t>espect des droits des usagers du système de santé. Ce rapport est élaboré notamment sur la base des rapports des conférences régionales de la santé et de l’autonomie (CRSA) ;</w:t>
            </w:r>
          </w:p>
          <w:p w:rsidR="006917A5" w:rsidRDefault="003A2E79">
            <w:pPr>
              <w:widowControl w:val="0"/>
              <w:jc w:val="both"/>
              <w:rPr>
                <w:rFonts w:asciiTheme="minorHAnsi" w:hAnsiTheme="minorHAnsi"/>
              </w:rPr>
            </w:pPr>
            <w:r>
              <w:rPr>
                <w:rFonts w:asciiTheme="minorHAnsi" w:hAnsiTheme="minorHAnsi"/>
              </w:rPr>
              <w:t>- De contribuer à l’organisation de débats publics sur ces mêmes questions. Les a</w:t>
            </w:r>
            <w:r>
              <w:rPr>
                <w:rFonts w:asciiTheme="minorHAnsi" w:hAnsiTheme="minorHAnsi"/>
              </w:rPr>
              <w:t>vis et rapports de la CNS sont rédigés par les membres rapporteurs eux-mêmes, adressés au Ministre chargé de la santé et sont rendus publics. […]</w:t>
            </w:r>
          </w:p>
          <w:p w:rsidR="006917A5" w:rsidRDefault="003A2E79">
            <w:pPr>
              <w:widowControl w:val="0"/>
              <w:jc w:val="right"/>
              <w:rPr>
                <w:rFonts w:asciiTheme="minorHAnsi" w:hAnsiTheme="minorHAnsi"/>
                <w:bCs/>
                <w:i/>
                <w:iCs/>
                <w:color w:val="000000" w:themeColor="text1"/>
                <w:sz w:val="20"/>
                <w:szCs w:val="20"/>
              </w:rPr>
            </w:pPr>
            <w:r>
              <w:rPr>
                <w:rFonts w:asciiTheme="minorHAnsi" w:hAnsiTheme="minorHAnsi"/>
                <w:bCs/>
                <w:i/>
                <w:iCs/>
                <w:sz w:val="20"/>
                <w:szCs w:val="20"/>
              </w:rPr>
              <w:t>Source :</w:t>
            </w:r>
            <w:hyperlink r:id="rId53">
              <w:r>
                <w:rPr>
                  <w:rFonts w:asciiTheme="minorHAnsi" w:hAnsiTheme="minorHAnsi"/>
                  <w:bCs/>
                  <w:i/>
                  <w:iCs/>
                  <w:sz w:val="20"/>
                  <w:szCs w:val="20"/>
                </w:rPr>
                <w:t>https://solidarites-sante.gouv.fr/</w:t>
              </w:r>
            </w:hyperlink>
            <w:r>
              <w:rPr>
                <w:rFonts w:asciiTheme="minorHAnsi" w:hAnsiTheme="minorHAnsi"/>
                <w:bCs/>
                <w:i/>
                <w:iCs/>
                <w:sz w:val="20"/>
                <w:szCs w:val="20"/>
              </w:rPr>
              <w:t xml:space="preserve"> 28 août 2020</w:t>
            </w:r>
          </w:p>
        </w:tc>
      </w:tr>
    </w:tbl>
    <w:p w:rsidR="006917A5" w:rsidRDefault="006917A5">
      <w:pPr>
        <w:pStyle w:val="Sansinterligne"/>
        <w:jc w:val="center"/>
        <w:rPr>
          <w:b/>
          <w:sz w:val="36"/>
          <w:szCs w:val="36"/>
          <w:u w:val="single"/>
        </w:rPr>
      </w:pPr>
    </w:p>
    <w:p w:rsidR="006917A5" w:rsidRDefault="003A2E79">
      <w:pPr>
        <w:pStyle w:val="Sansinterligne"/>
        <w:rPr>
          <w:b/>
          <w:sz w:val="32"/>
          <w:szCs w:val="32"/>
          <w:u w:val="single"/>
        </w:rPr>
      </w:pPr>
      <w:bookmarkStart w:id="2" w:name="_Hlk52119983"/>
      <w:bookmarkEnd w:id="2"/>
      <w:r>
        <w:rPr>
          <w:b/>
          <w:sz w:val="32"/>
          <w:szCs w:val="32"/>
          <w:u w:val="single"/>
        </w:rPr>
        <w:t>Annexe 1</w:t>
      </w:r>
      <w:r w:rsidR="008859B4">
        <w:rPr>
          <w:b/>
          <w:sz w:val="32"/>
          <w:szCs w:val="32"/>
          <w:u w:val="single"/>
        </w:rPr>
        <w:t xml:space="preserve">2 </w:t>
      </w:r>
      <w:r>
        <w:rPr>
          <w:b/>
          <w:sz w:val="32"/>
          <w:szCs w:val="32"/>
          <w:u w:val="single"/>
        </w:rPr>
        <w:t>: La place des usagers dans les CLSM</w:t>
      </w:r>
    </w:p>
    <w:p w:rsidR="006917A5" w:rsidRDefault="003A2E79">
      <w:pPr>
        <w:pStyle w:val="Sansinterligne"/>
        <w:jc w:val="both"/>
        <w:rPr>
          <w:rFonts w:eastAsia="Times New Roman" w:cstheme="minorHAnsi"/>
          <w:b/>
          <w:sz w:val="28"/>
          <w:szCs w:val="28"/>
          <w:lang w:eastAsia="fr-FR"/>
        </w:rPr>
      </w:pPr>
      <w:r>
        <w:rPr>
          <w:noProof/>
          <w:lang w:eastAsia="fr-FR"/>
        </w:rPr>
        <w:drawing>
          <wp:inline distT="0" distB="0" distL="0" distR="0">
            <wp:extent cx="6696710" cy="2872740"/>
            <wp:effectExtent l="0" t="0" r="0" b="0"/>
            <wp:docPr id="28"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2"/>
                    <pic:cNvPicPr>
                      <a:picLocks noChangeAspect="1" noChangeArrowheads="1"/>
                    </pic:cNvPicPr>
                  </pic:nvPicPr>
                  <pic:blipFill>
                    <a:blip r:embed="rId54"/>
                    <a:stretch>
                      <a:fillRect/>
                    </a:stretch>
                  </pic:blipFill>
                  <pic:spPr bwMode="auto">
                    <a:xfrm>
                      <a:off x="0" y="0"/>
                      <a:ext cx="6696710" cy="2872740"/>
                    </a:xfrm>
                    <a:prstGeom prst="rect">
                      <a:avLst/>
                    </a:prstGeom>
                    <a:noFill/>
                  </pic:spPr>
                </pic:pic>
              </a:graphicData>
            </a:graphic>
          </wp:inline>
        </w:drawing>
      </w:r>
    </w:p>
    <w:p w:rsidR="006917A5" w:rsidRDefault="00B64652">
      <w:pPr>
        <w:pStyle w:val="Sansinterligne"/>
        <w:jc w:val="right"/>
        <w:rPr>
          <w:rFonts w:eastAsia="Times New Roman" w:cstheme="minorHAnsi"/>
          <w:bCs/>
          <w:i/>
          <w:iCs/>
          <w:sz w:val="20"/>
          <w:szCs w:val="20"/>
          <w:u w:val="single"/>
          <w:lang w:eastAsia="fr-FR"/>
        </w:rPr>
      </w:pPr>
      <w:hyperlink r:id="rId55">
        <w:r w:rsidR="003A2E79">
          <w:rPr>
            <w:rStyle w:val="Lienhypertexte"/>
            <w:rFonts w:eastAsia="Times New Roman" w:cstheme="minorHAnsi"/>
            <w:bCs/>
            <w:i/>
            <w:iCs/>
            <w:sz w:val="20"/>
            <w:szCs w:val="20"/>
            <w:lang w:eastAsia="fr-FR"/>
          </w:rPr>
          <w:t>https://ressources-clsm.org/sites/default/files/2025-04/7-CCOMS-Guide_usagers.pdf-</w:t>
        </w:r>
      </w:hyperlink>
      <w:r w:rsidR="003A2E79">
        <w:rPr>
          <w:rFonts w:eastAsia="Times New Roman" w:cstheme="minorHAnsi"/>
          <w:bCs/>
          <w:i/>
          <w:iCs/>
          <w:sz w:val="20"/>
          <w:szCs w:val="20"/>
          <w:u w:val="single"/>
          <w:lang w:eastAsia="fr-FR"/>
        </w:rPr>
        <w:t xml:space="preserve"> avril 2025</w:t>
      </w:r>
    </w:p>
    <w:sectPr w:rsidR="006917A5" w:rsidSect="00B64652">
      <w:footerReference w:type="even" r:id="rId56"/>
      <w:footerReference w:type="default" r:id="rId57"/>
      <w:footerReference w:type="first" r:id="rId58"/>
      <w:pgSz w:w="11906" w:h="16838"/>
      <w:pgMar w:top="582" w:right="680" w:bottom="816" w:left="680" w:header="0" w:footer="284"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2E79" w:rsidRDefault="003A2E79">
      <w:r>
        <w:separator/>
      </w:r>
    </w:p>
  </w:endnote>
  <w:endnote w:type="continuationSeparator" w:id="1">
    <w:p w:rsidR="003A2E79" w:rsidRDefault="003A2E7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7A5" w:rsidRDefault="006917A5">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7A5" w:rsidRDefault="003A2E79">
    <w:pPr>
      <w:pStyle w:val="Pieddepage"/>
      <w:tabs>
        <w:tab w:val="left" w:pos="8931"/>
      </w:tabs>
      <w:rPr>
        <w:rFonts w:asciiTheme="minorHAnsi" w:hAnsiTheme="minorHAnsi" w:cstheme="minorHAnsi"/>
        <w:color w:val="0070C0"/>
      </w:rPr>
    </w:pPr>
    <w:r>
      <w:rPr>
        <w:rFonts w:asciiTheme="minorHAnsi" w:hAnsiTheme="minorHAnsi" w:cstheme="minorHAnsi"/>
        <w:color w:val="0070C0"/>
      </w:rPr>
      <w:t>Corpus Documentaire – Séquence 12</w:t>
    </w:r>
    <w:r>
      <w:rPr>
        <w:rFonts w:asciiTheme="minorHAnsi" w:hAnsiTheme="minorHAnsi" w:cstheme="minorHAnsi"/>
        <w:color w:val="0070C0"/>
      </w:rPr>
      <w:tab/>
    </w:r>
    <w:r>
      <w:rPr>
        <w:rFonts w:asciiTheme="minorHAnsi" w:hAnsiTheme="minorHAnsi" w:cstheme="minorHAnsi"/>
        <w:color w:val="0070C0"/>
      </w:rPr>
      <w:tab/>
    </w:r>
    <w:r>
      <w:rPr>
        <w:color w:val="4472C4" w:themeColor="accent1"/>
      </w:rPr>
      <w:t xml:space="preserve">Page </w:t>
    </w:r>
    <w:r w:rsidR="00B64652">
      <w:rPr>
        <w:color w:val="4472C4"/>
      </w:rPr>
      <w:fldChar w:fldCharType="begin"/>
    </w:r>
    <w:r>
      <w:rPr>
        <w:color w:val="4472C4"/>
      </w:rPr>
      <w:instrText xml:space="preserve"> PAGE </w:instrText>
    </w:r>
    <w:r w:rsidR="00B64652">
      <w:rPr>
        <w:color w:val="4472C4"/>
      </w:rPr>
      <w:fldChar w:fldCharType="separate"/>
    </w:r>
    <w:r w:rsidR="00D84134">
      <w:rPr>
        <w:noProof/>
        <w:color w:val="4472C4"/>
      </w:rPr>
      <w:t>15</w:t>
    </w:r>
    <w:r w:rsidR="00B64652">
      <w:rPr>
        <w:color w:val="4472C4"/>
      </w:rPr>
      <w:fldChar w:fldCharType="end"/>
    </w:r>
    <w:r>
      <w:rPr>
        <w:color w:val="4472C4" w:themeColor="accent1"/>
      </w:rPr>
      <w:t xml:space="preserve"> sur 15</w:t>
    </w:r>
  </w:p>
  <w:p w:rsidR="006917A5" w:rsidRDefault="006917A5">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7A5" w:rsidRDefault="003A2E79">
    <w:pPr>
      <w:pStyle w:val="Pieddepage"/>
      <w:tabs>
        <w:tab w:val="left" w:pos="8931"/>
      </w:tabs>
      <w:rPr>
        <w:rFonts w:asciiTheme="minorHAnsi" w:hAnsiTheme="minorHAnsi" w:cstheme="minorHAnsi"/>
        <w:color w:val="0070C0"/>
      </w:rPr>
    </w:pPr>
    <w:r>
      <w:rPr>
        <w:rFonts w:asciiTheme="minorHAnsi" w:hAnsiTheme="minorHAnsi" w:cstheme="minorHAnsi"/>
        <w:color w:val="0070C0"/>
      </w:rPr>
      <w:t>Corpus Documentaire – Séquence 12</w:t>
    </w:r>
    <w:r>
      <w:rPr>
        <w:rFonts w:asciiTheme="minorHAnsi" w:hAnsiTheme="minorHAnsi" w:cstheme="minorHAnsi"/>
        <w:color w:val="0070C0"/>
      </w:rPr>
      <w:tab/>
    </w:r>
    <w:r>
      <w:rPr>
        <w:rFonts w:asciiTheme="minorHAnsi" w:hAnsiTheme="minorHAnsi" w:cstheme="minorHAnsi"/>
        <w:color w:val="0070C0"/>
      </w:rPr>
      <w:tab/>
    </w:r>
    <w:r>
      <w:rPr>
        <w:color w:val="4472C4" w:themeColor="accent1"/>
      </w:rPr>
      <w:t xml:space="preserve">Page </w:t>
    </w:r>
    <w:r w:rsidR="00B64652">
      <w:rPr>
        <w:color w:val="4472C4"/>
      </w:rPr>
      <w:fldChar w:fldCharType="begin"/>
    </w:r>
    <w:r>
      <w:rPr>
        <w:color w:val="4472C4"/>
      </w:rPr>
      <w:instrText xml:space="preserve"> PAGE </w:instrText>
    </w:r>
    <w:r w:rsidR="00B64652">
      <w:rPr>
        <w:color w:val="4472C4"/>
      </w:rPr>
      <w:fldChar w:fldCharType="separate"/>
    </w:r>
    <w:r>
      <w:rPr>
        <w:color w:val="4472C4"/>
      </w:rPr>
      <w:t>15</w:t>
    </w:r>
    <w:r w:rsidR="00B64652">
      <w:rPr>
        <w:color w:val="4472C4"/>
      </w:rPr>
      <w:fldChar w:fldCharType="end"/>
    </w:r>
    <w:r>
      <w:rPr>
        <w:color w:val="4472C4" w:themeColor="accent1"/>
      </w:rPr>
      <w:t xml:space="preserve"> sur 15</w:t>
    </w:r>
  </w:p>
  <w:p w:rsidR="006917A5" w:rsidRDefault="006917A5">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2E79" w:rsidRDefault="003A2E79">
      <w:r>
        <w:separator/>
      </w:r>
    </w:p>
  </w:footnote>
  <w:footnote w:type="continuationSeparator" w:id="1">
    <w:p w:rsidR="003A2E79" w:rsidRDefault="003A2E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62AE8"/>
    <w:multiLevelType w:val="multilevel"/>
    <w:tmpl w:val="86CCCD7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2B452BCF"/>
    <w:multiLevelType w:val="multilevel"/>
    <w:tmpl w:val="CD6AFA0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nsid w:val="2F730A7D"/>
    <w:multiLevelType w:val="multilevel"/>
    <w:tmpl w:val="3AA06B1C"/>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nsid w:val="372B3049"/>
    <w:multiLevelType w:val="multilevel"/>
    <w:tmpl w:val="4D9812B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nsid w:val="49614AC5"/>
    <w:multiLevelType w:val="multilevel"/>
    <w:tmpl w:val="60FE466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nsid w:val="49F57FEE"/>
    <w:multiLevelType w:val="multilevel"/>
    <w:tmpl w:val="215085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nsid w:val="5A6F11E5"/>
    <w:multiLevelType w:val="multilevel"/>
    <w:tmpl w:val="6D527C2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68D035EB"/>
    <w:multiLevelType w:val="multilevel"/>
    <w:tmpl w:val="89A60F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nsid w:val="70554791"/>
    <w:multiLevelType w:val="multilevel"/>
    <w:tmpl w:val="81867CBC"/>
    <w:lvl w:ilvl="0">
      <w:start w:val="1"/>
      <w:numFmt w:val="decimal"/>
      <w:lvlText w:val="%1."/>
      <w:lvlJc w:val="left"/>
      <w:pPr>
        <w:tabs>
          <w:tab w:val="num" w:pos="0"/>
        </w:tabs>
        <w:ind w:left="720" w:hanging="360"/>
      </w:pPr>
      <w:rPr>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70780E73"/>
    <w:multiLevelType w:val="multilevel"/>
    <w:tmpl w:val="115EBB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nsid w:val="7EDF75E3"/>
    <w:multiLevelType w:val="multilevel"/>
    <w:tmpl w:val="C674F9B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2"/>
  </w:num>
  <w:num w:numId="2">
    <w:abstractNumId w:val="0"/>
  </w:num>
  <w:num w:numId="3">
    <w:abstractNumId w:val="8"/>
  </w:num>
  <w:num w:numId="4">
    <w:abstractNumId w:val="5"/>
  </w:num>
  <w:num w:numId="5">
    <w:abstractNumId w:val="1"/>
  </w:num>
  <w:num w:numId="6">
    <w:abstractNumId w:val="7"/>
  </w:num>
  <w:num w:numId="7">
    <w:abstractNumId w:val="3"/>
  </w:num>
  <w:num w:numId="8">
    <w:abstractNumId w:val="10"/>
  </w:num>
  <w:num w:numId="9">
    <w:abstractNumId w:val="9"/>
  </w:num>
  <w:num w:numId="10">
    <w:abstractNumId w:val="4"/>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characterSpacingControl w:val="doNotCompress"/>
  <w:footnotePr>
    <w:footnote w:id="0"/>
    <w:footnote w:id="1"/>
  </w:footnotePr>
  <w:endnotePr>
    <w:endnote w:id="0"/>
    <w:endnote w:id="1"/>
  </w:endnotePr>
  <w:compat/>
  <w:rsids>
    <w:rsidRoot w:val="006917A5"/>
    <w:rsid w:val="000025EF"/>
    <w:rsid w:val="002D4F3C"/>
    <w:rsid w:val="003879A9"/>
    <w:rsid w:val="003A2E79"/>
    <w:rsid w:val="00480FC1"/>
    <w:rsid w:val="006917A5"/>
    <w:rsid w:val="008859B4"/>
    <w:rsid w:val="00B64652"/>
    <w:rsid w:val="00D8413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DB3"/>
    <w:rPr>
      <w:rFonts w:ascii="Times New Roman" w:eastAsia="Times New Roman" w:hAnsi="Times New Roman" w:cs="Times New Roman"/>
      <w:lang w:eastAsia="fr-FR"/>
    </w:rPr>
  </w:style>
  <w:style w:type="paragraph" w:styleId="Titre1">
    <w:name w:val="heading 1"/>
    <w:basedOn w:val="Normal"/>
    <w:next w:val="Normal"/>
    <w:link w:val="Titre1Car"/>
    <w:uiPriority w:val="9"/>
    <w:qFormat/>
    <w:rsid w:val="00767DB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BB366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2644A3"/>
    <w:pPr>
      <w:keepNext/>
      <w:keepLines/>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next w:val="Normal"/>
    <w:link w:val="Titre4Car"/>
    <w:uiPriority w:val="9"/>
    <w:semiHidden/>
    <w:unhideWhenUsed/>
    <w:qFormat/>
    <w:rsid w:val="0081525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767DB3"/>
    <w:rPr>
      <w:rFonts w:asciiTheme="majorHAnsi" w:eastAsiaTheme="majorEastAsia" w:hAnsiTheme="majorHAnsi" w:cstheme="majorBidi"/>
      <w:color w:val="2F5496" w:themeColor="accent1" w:themeShade="BF"/>
      <w:sz w:val="32"/>
      <w:szCs w:val="32"/>
      <w:lang w:eastAsia="fr-FR"/>
    </w:rPr>
  </w:style>
  <w:style w:type="character" w:customStyle="1" w:styleId="Lienhypertexte1">
    <w:name w:val="Lien hypertexte1"/>
    <w:basedOn w:val="Policepardfaut"/>
    <w:uiPriority w:val="99"/>
    <w:unhideWhenUsed/>
    <w:qFormat/>
    <w:rsid w:val="00767DB3"/>
    <w:rPr>
      <w:color w:val="0563C1" w:themeColor="hyperlink"/>
      <w:u w:val="single"/>
    </w:rPr>
  </w:style>
  <w:style w:type="character" w:customStyle="1" w:styleId="Lienhypertextesuivivisit1">
    <w:name w:val="Lien hypertexte suivi visité1"/>
    <w:basedOn w:val="Policepardfaut"/>
    <w:uiPriority w:val="99"/>
    <w:semiHidden/>
    <w:unhideWhenUsed/>
    <w:qFormat/>
    <w:rsid w:val="00767DB3"/>
    <w:rPr>
      <w:color w:val="954F72" w:themeColor="followedHyperlink"/>
      <w:u w:val="single"/>
    </w:rPr>
  </w:style>
  <w:style w:type="character" w:customStyle="1" w:styleId="En-tteCar">
    <w:name w:val="En-tête Car"/>
    <w:basedOn w:val="Policepardfaut"/>
    <w:uiPriority w:val="99"/>
    <w:qFormat/>
    <w:rsid w:val="00767DB3"/>
    <w:rPr>
      <w:rFonts w:ascii="Times New Roman" w:eastAsia="Times New Roman" w:hAnsi="Times New Roman" w:cs="Times New Roman"/>
      <w:lang w:eastAsia="fr-FR"/>
    </w:rPr>
  </w:style>
  <w:style w:type="character" w:customStyle="1" w:styleId="PieddepageCar">
    <w:name w:val="Pied de page Car"/>
    <w:basedOn w:val="Policepardfaut"/>
    <w:link w:val="Pieddepage"/>
    <w:uiPriority w:val="99"/>
    <w:qFormat/>
    <w:rsid w:val="00767DB3"/>
    <w:rPr>
      <w:rFonts w:ascii="Times New Roman" w:eastAsia="Times New Roman" w:hAnsi="Times New Roman" w:cs="Times New Roman"/>
      <w:lang w:eastAsia="fr-FR"/>
    </w:rPr>
  </w:style>
  <w:style w:type="character" w:customStyle="1" w:styleId="TextedebullesCar">
    <w:name w:val="Texte de bulles Car"/>
    <w:basedOn w:val="Policepardfaut"/>
    <w:link w:val="Textedebulles"/>
    <w:uiPriority w:val="99"/>
    <w:semiHidden/>
    <w:qFormat/>
    <w:rsid w:val="00CA03B7"/>
    <w:rPr>
      <w:rFonts w:ascii="Times New Roman" w:eastAsia="Times New Roman" w:hAnsi="Times New Roman" w:cs="Times New Roman"/>
      <w:sz w:val="18"/>
      <w:szCs w:val="18"/>
      <w:lang w:eastAsia="fr-FR"/>
    </w:rPr>
  </w:style>
  <w:style w:type="character" w:customStyle="1" w:styleId="UnresolvedMention">
    <w:name w:val="Unresolved Mention"/>
    <w:basedOn w:val="Policepardfaut"/>
    <w:uiPriority w:val="99"/>
    <w:semiHidden/>
    <w:unhideWhenUsed/>
    <w:qFormat/>
    <w:rsid w:val="009F2F44"/>
    <w:rPr>
      <w:color w:val="605E5C"/>
      <w:shd w:val="clear" w:color="auto" w:fill="E1DFDD"/>
    </w:rPr>
  </w:style>
  <w:style w:type="character" w:styleId="lev">
    <w:name w:val="Strong"/>
    <w:basedOn w:val="Policepardfaut"/>
    <w:uiPriority w:val="22"/>
    <w:qFormat/>
    <w:rsid w:val="00117BC1"/>
    <w:rPr>
      <w:b/>
      <w:bCs/>
    </w:rPr>
  </w:style>
  <w:style w:type="character" w:customStyle="1" w:styleId="Titre3Car">
    <w:name w:val="Titre 3 Car"/>
    <w:basedOn w:val="Policepardfaut"/>
    <w:link w:val="Titre3"/>
    <w:uiPriority w:val="9"/>
    <w:semiHidden/>
    <w:qFormat/>
    <w:rsid w:val="002644A3"/>
    <w:rPr>
      <w:rFonts w:asciiTheme="majorHAnsi" w:eastAsiaTheme="majorEastAsia" w:hAnsiTheme="majorHAnsi" w:cstheme="majorBidi"/>
      <w:color w:val="1F3763" w:themeColor="accent1" w:themeShade="7F"/>
      <w:lang w:eastAsia="fr-FR"/>
    </w:rPr>
  </w:style>
  <w:style w:type="character" w:styleId="Lienhypertexte">
    <w:name w:val="Hyperlink"/>
    <w:basedOn w:val="Policepardfaut"/>
    <w:uiPriority w:val="99"/>
    <w:unhideWhenUsed/>
    <w:rsid w:val="00B2482A"/>
    <w:rPr>
      <w:color w:val="0563C1" w:themeColor="hyperlink"/>
      <w:u w:val="single"/>
    </w:rPr>
  </w:style>
  <w:style w:type="character" w:customStyle="1" w:styleId="Titre2Car">
    <w:name w:val="Titre 2 Car"/>
    <w:basedOn w:val="Policepardfaut"/>
    <w:link w:val="Titre2"/>
    <w:uiPriority w:val="9"/>
    <w:semiHidden/>
    <w:qFormat/>
    <w:rsid w:val="00BB3661"/>
    <w:rPr>
      <w:rFonts w:asciiTheme="majorHAnsi" w:eastAsiaTheme="majorEastAsia" w:hAnsiTheme="majorHAnsi" w:cstheme="majorBidi"/>
      <w:color w:val="2F5496" w:themeColor="accent1" w:themeShade="BF"/>
      <w:sz w:val="26"/>
      <w:szCs w:val="26"/>
      <w:lang w:eastAsia="fr-FR"/>
    </w:rPr>
  </w:style>
  <w:style w:type="character" w:styleId="Accentuation">
    <w:name w:val="Emphasis"/>
    <w:basedOn w:val="Policepardfaut"/>
    <w:uiPriority w:val="20"/>
    <w:qFormat/>
    <w:rsid w:val="00BB3661"/>
    <w:rPr>
      <w:i/>
      <w:iCs/>
    </w:rPr>
  </w:style>
  <w:style w:type="character" w:customStyle="1" w:styleId="Titre4Car">
    <w:name w:val="Titre 4 Car"/>
    <w:basedOn w:val="Policepardfaut"/>
    <w:link w:val="Titre4"/>
    <w:uiPriority w:val="9"/>
    <w:semiHidden/>
    <w:qFormat/>
    <w:rsid w:val="00815255"/>
    <w:rPr>
      <w:rFonts w:asciiTheme="majorHAnsi" w:eastAsiaTheme="majorEastAsia" w:hAnsiTheme="majorHAnsi" w:cstheme="majorBidi"/>
      <w:i/>
      <w:iCs/>
      <w:color w:val="2F5496" w:themeColor="accent1" w:themeShade="BF"/>
      <w:lang w:eastAsia="fr-FR"/>
    </w:rPr>
  </w:style>
  <w:style w:type="paragraph" w:styleId="Titre">
    <w:name w:val="Title"/>
    <w:basedOn w:val="Normal"/>
    <w:next w:val="Corpsdetexte"/>
    <w:qFormat/>
    <w:rsid w:val="00B64652"/>
    <w:pPr>
      <w:keepNext/>
      <w:spacing w:before="240" w:after="120"/>
    </w:pPr>
    <w:rPr>
      <w:rFonts w:ascii="Liberation Sans" w:eastAsia="Microsoft YaHei" w:hAnsi="Liberation Sans" w:cs="Arial"/>
      <w:sz w:val="28"/>
      <w:szCs w:val="28"/>
    </w:rPr>
  </w:style>
  <w:style w:type="paragraph" w:styleId="Corpsdetexte">
    <w:name w:val="Body Text"/>
    <w:basedOn w:val="Normal"/>
    <w:rsid w:val="00B64652"/>
    <w:pPr>
      <w:spacing w:after="140" w:line="276" w:lineRule="auto"/>
    </w:pPr>
  </w:style>
  <w:style w:type="paragraph" w:styleId="Liste">
    <w:name w:val="List"/>
    <w:basedOn w:val="Corpsdetexte"/>
    <w:rsid w:val="00B64652"/>
    <w:rPr>
      <w:rFonts w:cs="Arial"/>
    </w:rPr>
  </w:style>
  <w:style w:type="paragraph" w:styleId="Lgende">
    <w:name w:val="caption"/>
    <w:basedOn w:val="Normal"/>
    <w:qFormat/>
    <w:rsid w:val="00B64652"/>
    <w:pPr>
      <w:suppressLineNumbers/>
      <w:spacing w:before="120" w:after="120"/>
    </w:pPr>
    <w:rPr>
      <w:rFonts w:cs="Arial"/>
      <w:i/>
      <w:iCs/>
    </w:rPr>
  </w:style>
  <w:style w:type="paragraph" w:customStyle="1" w:styleId="Index">
    <w:name w:val="Index"/>
    <w:basedOn w:val="Normal"/>
    <w:qFormat/>
    <w:rsid w:val="00B64652"/>
    <w:pPr>
      <w:suppressLineNumbers/>
    </w:pPr>
    <w:rPr>
      <w:rFonts w:cs="Arial"/>
    </w:rPr>
  </w:style>
  <w:style w:type="paragraph" w:customStyle="1" w:styleId="Titreuser">
    <w:name w:val="Titre (user)"/>
    <w:basedOn w:val="Normal"/>
    <w:next w:val="Corpsdetexte"/>
    <w:qFormat/>
    <w:rsid w:val="00B64652"/>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rsid w:val="00B64652"/>
    <w:pPr>
      <w:suppressLineNumbers/>
      <w:spacing w:before="120" w:after="120"/>
    </w:pPr>
    <w:rPr>
      <w:rFonts w:cs="Arial"/>
      <w:i/>
      <w:iCs/>
    </w:rPr>
  </w:style>
  <w:style w:type="paragraph" w:customStyle="1" w:styleId="caption11">
    <w:name w:val="caption11"/>
    <w:basedOn w:val="Normal"/>
    <w:qFormat/>
    <w:rsid w:val="00B64652"/>
    <w:pPr>
      <w:suppressLineNumbers/>
      <w:spacing w:before="120" w:after="120"/>
    </w:pPr>
    <w:rPr>
      <w:rFonts w:cs="Arial"/>
      <w:i/>
      <w:iCs/>
    </w:rPr>
  </w:style>
  <w:style w:type="paragraph" w:customStyle="1" w:styleId="Listecouleur-Accent11">
    <w:name w:val="Liste couleur - Accent 11"/>
    <w:basedOn w:val="Normal"/>
    <w:uiPriority w:val="34"/>
    <w:qFormat/>
    <w:rsid w:val="00767DB3"/>
    <w:pPr>
      <w:ind w:left="708"/>
    </w:pPr>
    <w:rPr>
      <w:color w:val="00000A"/>
    </w:rPr>
  </w:style>
  <w:style w:type="paragraph" w:customStyle="1" w:styleId="En-tteetpieddepageuser">
    <w:name w:val="En-tête et pied de page (user)"/>
    <w:basedOn w:val="Normal"/>
    <w:qFormat/>
    <w:rsid w:val="00B64652"/>
  </w:style>
  <w:style w:type="paragraph" w:customStyle="1" w:styleId="En-tteetpieddepage">
    <w:name w:val="En-tête et pied de page"/>
    <w:basedOn w:val="Normal"/>
    <w:qFormat/>
    <w:rsid w:val="00B64652"/>
  </w:style>
  <w:style w:type="paragraph" w:styleId="En-tte">
    <w:name w:val="header"/>
    <w:basedOn w:val="Normal"/>
    <w:uiPriority w:val="99"/>
    <w:unhideWhenUsed/>
    <w:rsid w:val="00767DB3"/>
    <w:pPr>
      <w:tabs>
        <w:tab w:val="center" w:pos="4536"/>
        <w:tab w:val="right" w:pos="9072"/>
      </w:tabs>
    </w:pPr>
  </w:style>
  <w:style w:type="paragraph" w:styleId="Pieddepage">
    <w:name w:val="footer"/>
    <w:basedOn w:val="Normal"/>
    <w:link w:val="PieddepageCar"/>
    <w:uiPriority w:val="99"/>
    <w:unhideWhenUsed/>
    <w:rsid w:val="00767DB3"/>
    <w:pPr>
      <w:tabs>
        <w:tab w:val="center" w:pos="4536"/>
        <w:tab w:val="right" w:pos="9072"/>
      </w:tabs>
    </w:pPr>
  </w:style>
  <w:style w:type="paragraph" w:styleId="NormalWeb">
    <w:name w:val="Normal (Web)"/>
    <w:basedOn w:val="Normal"/>
    <w:uiPriority w:val="99"/>
    <w:unhideWhenUsed/>
    <w:qFormat/>
    <w:rsid w:val="00770F58"/>
  </w:style>
  <w:style w:type="paragraph" w:styleId="Sansinterligne">
    <w:name w:val="No Spacing"/>
    <w:uiPriority w:val="1"/>
    <w:qFormat/>
    <w:rsid w:val="00CA343B"/>
    <w:rPr>
      <w:sz w:val="22"/>
      <w:szCs w:val="22"/>
    </w:rPr>
  </w:style>
  <w:style w:type="paragraph" w:styleId="Textedebulles">
    <w:name w:val="Balloon Text"/>
    <w:basedOn w:val="Normal"/>
    <w:link w:val="TextedebullesCar"/>
    <w:uiPriority w:val="99"/>
    <w:semiHidden/>
    <w:unhideWhenUsed/>
    <w:qFormat/>
    <w:rsid w:val="00CA03B7"/>
    <w:rPr>
      <w:sz w:val="18"/>
      <w:szCs w:val="18"/>
    </w:rPr>
  </w:style>
  <w:style w:type="paragraph" w:styleId="Paragraphedeliste">
    <w:name w:val="List Paragraph"/>
    <w:basedOn w:val="Normal"/>
    <w:uiPriority w:val="34"/>
    <w:qFormat/>
    <w:rsid w:val="00942293"/>
    <w:pPr>
      <w:ind w:left="720"/>
      <w:contextualSpacing/>
    </w:pPr>
  </w:style>
  <w:style w:type="paragraph" w:customStyle="1" w:styleId="Contenudecadreuser">
    <w:name w:val="Contenu de cadre (user)"/>
    <w:basedOn w:val="Normal"/>
    <w:qFormat/>
    <w:rsid w:val="00B64652"/>
  </w:style>
  <w:style w:type="paragraph" w:customStyle="1" w:styleId="articleparagraph">
    <w:name w:val="article__paragraph"/>
    <w:basedOn w:val="Normal"/>
    <w:qFormat/>
    <w:rsid w:val="006E3120"/>
    <w:pPr>
      <w:suppressAutoHyphens w:val="0"/>
      <w:spacing w:beforeAutospacing="1" w:afterAutospacing="1"/>
    </w:pPr>
  </w:style>
  <w:style w:type="paragraph" w:customStyle="1" w:styleId="Contenudecadre">
    <w:name w:val="Contenu de cadre"/>
    <w:basedOn w:val="Normal"/>
    <w:qFormat/>
    <w:rsid w:val="00B64652"/>
  </w:style>
  <w:style w:type="numbering" w:customStyle="1" w:styleId="Pasdeliste">
    <w:name w:val="Pas de liste"/>
    <w:uiPriority w:val="99"/>
    <w:semiHidden/>
    <w:unhideWhenUsed/>
    <w:qFormat/>
    <w:rsid w:val="00B64652"/>
  </w:style>
  <w:style w:type="table" w:styleId="Grilledutableau">
    <w:name w:val="Table Grid"/>
    <w:basedOn w:val="TableauNormal"/>
    <w:uiPriority w:val="39"/>
    <w:rsid w:val="00767DB3"/>
    <w:rPr>
      <w:rFonts w:eastAsiaTheme="minorEastAsia"/>
      <w:sz w:val="22"/>
      <w:szCs w:val="22"/>
      <w:lang w:eastAsia="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s://sante.gouv.fr/" TargetMode="External"/><Relationship Id="rId18" Type="http://schemas.openxmlformats.org/officeDocument/2006/relationships/image" Target="media/image3.png"/><Relationship Id="rId26" Type="http://schemas.openxmlformats.org/officeDocument/2006/relationships/image" Target="media/image8.png"/><Relationship Id="rId39" Type="http://schemas.openxmlformats.org/officeDocument/2006/relationships/image" Target="media/image19.png"/><Relationship Id="rId21" Type="http://schemas.openxmlformats.org/officeDocument/2006/relationships/image" Target="media/image5.png"/><Relationship Id="rId34" Type="http://schemas.openxmlformats.org/officeDocument/2006/relationships/image" Target="media/image15.png"/><Relationship Id="rId42" Type="http://schemas.openxmlformats.org/officeDocument/2006/relationships/image" Target="media/image22.jpeg"/><Relationship Id="rId47" Type="http://schemas.openxmlformats.org/officeDocument/2006/relationships/hyperlink" Target="https://health.ec.europa.eu/non-communicable-diseases/mental-health_fr" TargetMode="External"/><Relationship Id="rId50" Type="http://schemas.openxmlformats.org/officeDocument/2006/relationships/image" Target="media/image24.png"/><Relationship Id="rId55" Type="http://schemas.openxmlformats.org/officeDocument/2006/relationships/hyperlink" Target="https://ressources-clsm.org/sites/default/files/2025-04/7-CCOMS-Guide_usagers.pdf-" TargetMode="External"/><Relationship Id="rId7" Type="http://schemas.openxmlformats.org/officeDocument/2006/relationships/endnotes" Target="endnotes.xml"/><Relationship Id="rId12" Type="http://schemas.openxmlformats.org/officeDocument/2006/relationships/hyperlink" Target="https://sante.gouv.fr/prevention-en-sante/sante-mentale/promotion-et-prevention/article/les-determinants-de-la-sante-mentale" TargetMode="External"/><Relationship Id="rId17" Type="http://schemas.openxmlformats.org/officeDocument/2006/relationships/oleObject" Target="embeddings/oleObject1.bin"/><Relationship Id="rId25" Type="http://schemas.openxmlformats.org/officeDocument/2006/relationships/image" Target="media/image7.png"/><Relationship Id="rId33" Type="http://schemas.openxmlformats.org/officeDocument/2006/relationships/image" Target="media/image14.png"/><Relationship Id="rId38" Type="http://schemas.openxmlformats.org/officeDocument/2006/relationships/image" Target="media/image18.jpeg"/><Relationship Id="rId46" Type="http://schemas.openxmlformats.org/officeDocument/2006/relationships/hyperlink" Target="https://epthinktank-eu.translate.goog/2024/10/24/mental-health-what-is-the-eu-doing-for-mental-health/?_x_tr_sl=en&amp;_x_tr_tl=fr&amp;_x_tr_hl=fr&amp;_x_tr_pto=rq"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image" Target="media/image11.png"/><Relationship Id="rId41" Type="http://schemas.openxmlformats.org/officeDocument/2006/relationships/image" Target="media/image21.png"/><Relationship Id="rId54"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nte.gouv.fr/prevention-en-sante/sante-mentale/Feuille-de-route-de-la-sante-mentale-et-de-la-psychiatrie-11179/article/le-comite-strategique-de-la-sante-mentale-et-de-la-psychiatrie-cssmp" TargetMode="External"/><Relationship Id="rId24" Type="http://schemas.openxmlformats.org/officeDocument/2006/relationships/hyperlink" Target="https://www.anpp.fr/" TargetMode="External"/><Relationship Id="rId32" Type="http://schemas.openxmlformats.org/officeDocument/2006/relationships/hyperlink" Target="https://www.iledefrance.ars.sante.fr/" TargetMode="External"/><Relationship Id="rId37" Type="http://schemas.openxmlformats.org/officeDocument/2006/relationships/image" Target="media/image17.png"/><Relationship Id="rId40" Type="http://schemas.openxmlformats.org/officeDocument/2006/relationships/image" Target="media/image20.jpeg"/><Relationship Id="rId45" Type="http://schemas.openxmlformats.org/officeDocument/2006/relationships/hyperlink" Target="https://www.consilium.europa.eu/fr/policies/mental-health/" TargetMode="External"/><Relationship Id="rId53" Type="http://schemas.openxmlformats.org/officeDocument/2006/relationships/hyperlink" Target="https://solidarites-sante.gouv.fr/" TargetMode="External"/><Relationship Id="rId58"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hcsp.fr/explore.cgi/avisrapportsdomaine?clefr=1280" TargetMode="External"/><Relationship Id="rId23" Type="http://schemas.openxmlformats.org/officeDocument/2006/relationships/hyperlink" Target="https://sante.gouv.fr/" TargetMode="External"/><Relationship Id="rId28" Type="http://schemas.openxmlformats.org/officeDocument/2006/relationships/image" Target="media/image10.png"/><Relationship Id="rId36" Type="http://schemas.openxmlformats.org/officeDocument/2006/relationships/image" Target="media/image16.png"/><Relationship Id="rId49" Type="http://schemas.openxmlformats.org/officeDocument/2006/relationships/hyperlink" Target="https://solidarites-sante.gouv.fr/-" TargetMode="External"/><Relationship Id="rId57" Type="http://schemas.openxmlformats.org/officeDocument/2006/relationships/footer" Target="footer2.xml"/><Relationship Id="rId10" Type="http://schemas.openxmlformats.org/officeDocument/2006/relationships/hyperlink" Target="https://sante.gouv.fr/prevention-en-sante/sante-mentale/article/contributions-aux-assises-de-la-sante-mentale-et-de-la-psychiatrie-des-27-et-28" TargetMode="External"/><Relationship Id="rId19" Type="http://schemas.openxmlformats.org/officeDocument/2006/relationships/hyperlink" Target="https://solidarites-sante.gouv.fr/" TargetMode="External"/><Relationship Id="rId31" Type="http://schemas.openxmlformats.org/officeDocument/2006/relationships/image" Target="media/image13.png"/><Relationship Id="rId44" Type="http://schemas.openxmlformats.org/officeDocument/2006/relationships/hyperlink" Target="https://health.ec.europa.eu/publications/comprehensive-approach-mental-health_en?prefLang=fr" TargetMode="External"/><Relationship Id="rId52" Type="http://schemas.openxmlformats.org/officeDocument/2006/relationships/hyperlink" Target="https://www.ars.sante.fr/"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ante.gouv.fr/doc34342" TargetMode="External"/><Relationship Id="rId14" Type="http://schemas.openxmlformats.org/officeDocument/2006/relationships/image" Target="media/image1.png"/><Relationship Id="rId22" Type="http://schemas.openxmlformats.org/officeDocument/2006/relationships/image" Target="media/image6.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yperlink" Target="https://prs.occitanie-sante.fr//" TargetMode="External"/><Relationship Id="rId43" Type="http://schemas.openxmlformats.org/officeDocument/2006/relationships/hyperlink" Target="https://www.touteleurope.eu/fonctionnement-de-l-ue/le-fonctionnement-de-l-europe-de-la-sante/" TargetMode="External"/><Relationship Id="rId48" Type="http://schemas.openxmlformats.org/officeDocument/2006/relationships/image" Target="media/image23.png"/><Relationship Id="rId56" Type="http://schemas.openxmlformats.org/officeDocument/2006/relationships/footer" Target="footer1.xml"/><Relationship Id="rId8" Type="http://schemas.openxmlformats.org/officeDocument/2006/relationships/hyperlink" Target="https://www.santepubliquefrance.fr/maladies-et-traumatismes/sante-mentale" TargetMode="External"/><Relationship Id="rId51" Type="http://schemas.openxmlformats.org/officeDocument/2006/relationships/image" Target="media/image25.jpe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B687C-A22A-4F3F-A83D-881DCC5E6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4867</Words>
  <Characters>26773</Characters>
  <Application>Microsoft Office Word</Application>
  <DocSecurity>0</DocSecurity>
  <Lines>223</Lines>
  <Paragraphs>63</Paragraphs>
  <ScaleCrop>false</ScaleCrop>
  <Company>HP</Company>
  <LinksUpToDate>false</LinksUpToDate>
  <CharactersWithSpaces>31577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Microsoft Office</dc:creator>
  <cp:lastModifiedBy>rachida oujeddou</cp:lastModifiedBy>
  <cp:revision>2</cp:revision>
  <cp:lastPrinted>2026-09-25T14:07:00Z</cp:lastPrinted>
  <dcterms:created xsi:type="dcterms:W3CDTF">2026-11-07T08:43:00Z</dcterms:created>
  <dcterms:modified xsi:type="dcterms:W3CDTF">2026-11-07T08:43:00Z</dcterms:modified>
  <dc:language>fr-FR</dc:language>
</cp:coreProperties>
</file>