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826D6E" w:rsidRPr="007C74C3" w:rsidTr="00F55AF9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6E" w:rsidRPr="009C6933" w:rsidRDefault="00826D6E" w:rsidP="00D60AAD">
            <w:pPr>
              <w:jc w:val="center"/>
              <w:rPr>
                <w:rFonts w:cs="RegencieLight"/>
                <w:b/>
                <w:color w:val="CD7371"/>
                <w:sz w:val="32"/>
                <w:szCs w:val="32"/>
              </w:rPr>
            </w:pPr>
            <w:r w:rsidRPr="009C6933">
              <w:rPr>
                <w:rFonts w:cs="RegencieLight"/>
                <w:b/>
                <w:color w:val="CD7371"/>
                <w:sz w:val="32"/>
                <w:szCs w:val="32"/>
              </w:rPr>
              <w:t xml:space="preserve">CYCLE </w:t>
            </w:r>
            <w:r w:rsidR="00D60AAD" w:rsidRPr="009C6933">
              <w:rPr>
                <w:rFonts w:cs="RegencieLight"/>
                <w:b/>
                <w:color w:val="CD7371"/>
                <w:sz w:val="32"/>
                <w:szCs w:val="32"/>
              </w:rPr>
              <w:t>4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D6E" w:rsidRPr="007C74C3" w:rsidRDefault="00826D6E" w:rsidP="000C7588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LA REPRESENTATION</w:t>
            </w:r>
            <w:r w:rsidR="000C7588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 : IMAGES, REALITE ET FICTION</w:t>
            </w:r>
          </w:p>
        </w:tc>
      </w:tr>
      <w:tr w:rsidR="00395AB0" w:rsidRPr="007C74C3" w:rsidTr="00CB7130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6D6E" w:rsidRPr="007C74C3" w:rsidRDefault="00826D6E" w:rsidP="00395AB0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F55AF9" w:rsidRPr="007C74C3" w:rsidTr="000C7588">
        <w:trPr>
          <w:trHeight w:val="1697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826D6E" w:rsidRPr="007C74C3" w:rsidRDefault="00395AB0" w:rsidP="00BB3602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ressemblance</w:t>
            </w:r>
          </w:p>
        </w:tc>
        <w:tc>
          <w:tcPr>
            <w:tcW w:w="6095" w:type="dxa"/>
            <w:gridSpan w:val="2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826D6E" w:rsidRPr="007C74C3" w:rsidRDefault="00826D6E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0C7588" w:rsidRPr="007C74C3" w:rsidTr="000C7588">
        <w:trPr>
          <w:trHeight w:val="1697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0C7588" w:rsidRPr="007C74C3" w:rsidRDefault="000C7588" w:rsidP="000C7588">
            <w:pPr>
              <w:autoSpaceDE w:val="0"/>
              <w:autoSpaceDN w:val="0"/>
              <w:adjustRightInd w:val="0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</w:t>
            </w:r>
            <w:r>
              <w:rPr>
                <w:rFonts w:cs="Lane-Narrow"/>
                <w:b/>
                <w:color w:val="31849B" w:themeColor="accent5" w:themeShade="BF"/>
                <w:sz w:val="28"/>
                <w:szCs w:val="28"/>
              </w:rPr>
              <w:t>a représentation</w:t>
            </w:r>
          </w:p>
        </w:tc>
        <w:tc>
          <w:tcPr>
            <w:tcW w:w="6095" w:type="dxa"/>
            <w:gridSpan w:val="2"/>
          </w:tcPr>
          <w:p w:rsidR="000C7588" w:rsidRPr="007C74C3" w:rsidRDefault="000C7588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0C7588" w:rsidRPr="007C74C3" w:rsidRDefault="000C7588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0C7588" w:rsidRPr="007C74C3" w:rsidRDefault="000C7588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0C7588" w:rsidRPr="007C74C3" w:rsidRDefault="000C7588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0C7588">
        <w:trPr>
          <w:trHeight w:val="1697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narration</w:t>
            </w:r>
            <w:r w:rsidR="007C74C3"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visuelle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0C7588">
        <w:trPr>
          <w:trHeight w:val="1697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Default="000C7588" w:rsidP="00BB3602">
            <w:pPr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signification des images :</w:t>
            </w:r>
          </w:p>
          <w:p w:rsidR="000C7588" w:rsidRPr="000C7588" w:rsidRDefault="000C7588" w:rsidP="000C7588">
            <w:pPr>
              <w:autoSpaceDE w:val="0"/>
              <w:autoSpaceDN w:val="0"/>
              <w:adjustRightInd w:val="0"/>
              <w:jc w:val="center"/>
              <w:rPr>
                <w:rFonts w:cs="RegencieLight"/>
                <w:color w:val="31849B" w:themeColor="accent5" w:themeShade="BF"/>
                <w:sz w:val="20"/>
                <w:szCs w:val="20"/>
              </w:rPr>
            </w:pPr>
            <w:r w:rsidRPr="000C7588">
              <w:rPr>
                <w:rFonts w:cs="RegencieLight"/>
                <w:color w:val="31849B" w:themeColor="accent5" w:themeShade="BF"/>
                <w:sz w:val="20"/>
                <w:szCs w:val="20"/>
              </w:rPr>
              <w:t>Création,</w:t>
            </w:r>
          </w:p>
          <w:p w:rsidR="000C7588" w:rsidRPr="000C7588" w:rsidRDefault="000C7588" w:rsidP="000C7588">
            <w:pPr>
              <w:autoSpaceDE w:val="0"/>
              <w:autoSpaceDN w:val="0"/>
              <w:adjustRightInd w:val="0"/>
              <w:jc w:val="center"/>
              <w:rPr>
                <w:rFonts w:cs="RegencieLight"/>
                <w:color w:val="31849B" w:themeColor="accent5" w:themeShade="BF"/>
                <w:sz w:val="20"/>
                <w:szCs w:val="20"/>
              </w:rPr>
            </w:pPr>
            <w:r w:rsidRPr="000C7588">
              <w:rPr>
                <w:rFonts w:cs="RegencieLight"/>
                <w:color w:val="31849B" w:themeColor="accent5" w:themeShade="BF"/>
                <w:sz w:val="20"/>
                <w:szCs w:val="20"/>
              </w:rPr>
              <w:t>Matérialité,</w:t>
            </w:r>
          </w:p>
          <w:p w:rsidR="000C7588" w:rsidRPr="007C74C3" w:rsidRDefault="000C7588" w:rsidP="000C7588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0C7588">
              <w:rPr>
                <w:rFonts w:cs="RegencieLight"/>
                <w:color w:val="31849B" w:themeColor="accent5" w:themeShade="BF"/>
                <w:sz w:val="20"/>
                <w:szCs w:val="20"/>
              </w:rPr>
              <w:t>statut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0C7588">
        <w:trPr>
          <w:trHeight w:val="1697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Default="000C7588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 l’ère du numérique :</w:t>
            </w:r>
          </w:p>
          <w:p w:rsidR="000C7588" w:rsidRPr="000C7588" w:rsidRDefault="000C7588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0"/>
                <w:szCs w:val="20"/>
              </w:rPr>
            </w:pPr>
            <w:r w:rsidRPr="000C7588">
              <w:rPr>
                <w:rFonts w:cs="RegencieLight"/>
                <w:color w:val="31849B" w:themeColor="accent5" w:themeShade="BF"/>
                <w:sz w:val="20"/>
                <w:szCs w:val="20"/>
              </w:rPr>
              <w:t>Conception, production et diffusion de l’œuvre plastique.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395AB0" w:rsidRPr="007C74C3" w:rsidTr="00D04D7E">
        <w:trPr>
          <w:trHeight w:val="1334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395AB0" w:rsidRPr="007C74C3" w:rsidRDefault="00395AB0" w:rsidP="00BB3602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395AB0" w:rsidRPr="007C74C3" w:rsidRDefault="00395AB0" w:rsidP="00395AB0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395AB0" w:rsidRPr="004C7412" w:rsidRDefault="00395AB0" w:rsidP="00395AB0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126FDC" w:rsidRPr="007C74C3" w:rsidTr="00D435D9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FDC" w:rsidRPr="009C6933" w:rsidRDefault="00126FDC" w:rsidP="00D60AAD">
            <w:pPr>
              <w:jc w:val="center"/>
              <w:rPr>
                <w:rFonts w:cs="RegencieLight"/>
                <w:b/>
                <w:color w:val="CD7371"/>
                <w:sz w:val="32"/>
                <w:szCs w:val="32"/>
              </w:rPr>
            </w:pPr>
            <w:r w:rsidRPr="009C6933">
              <w:rPr>
                <w:rFonts w:cs="RegencieLight"/>
                <w:b/>
                <w:color w:val="CD7371"/>
                <w:sz w:val="32"/>
                <w:szCs w:val="32"/>
              </w:rPr>
              <w:lastRenderedPageBreak/>
              <w:t xml:space="preserve">CYCLE </w:t>
            </w:r>
            <w:r w:rsidR="00D60AAD" w:rsidRPr="009C6933">
              <w:rPr>
                <w:rFonts w:cs="RegencieLight"/>
                <w:b/>
                <w:color w:val="CD7371"/>
                <w:sz w:val="32"/>
                <w:szCs w:val="32"/>
              </w:rPr>
              <w:t>4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6FDC" w:rsidRPr="007C74C3" w:rsidRDefault="00470109" w:rsidP="00D04D7E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 xml:space="preserve">LA MATERIALITE </w:t>
            </w:r>
            <w:r w:rsidR="00D04D7E"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DE L’ŒUVRE : L’OBJET ET L’OEUVRE</w:t>
            </w:r>
            <w:r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 xml:space="preserve"> </w:t>
            </w:r>
          </w:p>
        </w:tc>
      </w:tr>
      <w:tr w:rsidR="00126FDC" w:rsidRPr="007C74C3" w:rsidTr="00D435D9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26FDC" w:rsidRPr="007C74C3" w:rsidRDefault="00126FDC" w:rsidP="00D435D9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126FDC" w:rsidRPr="007C74C3" w:rsidTr="0058318D">
        <w:trPr>
          <w:trHeight w:val="1641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D04D7E" w:rsidRDefault="00126FDC" w:rsidP="00D04D7E">
            <w:pPr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La </w:t>
            </w:r>
            <w:r w:rsidR="00D04D7E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matière, </w:t>
            </w:r>
          </w:p>
          <w:p w:rsidR="00126FDC" w:rsidRPr="007C74C3" w:rsidRDefault="00D04D7E" w:rsidP="00D04D7E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les matériaux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58318D" w:rsidRPr="007C74C3" w:rsidTr="0058318D">
        <w:trPr>
          <w:trHeight w:val="1641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58318D" w:rsidRPr="00126FDC" w:rsidRDefault="0058318D" w:rsidP="00D04D7E">
            <w:pPr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La couleur</w:t>
            </w:r>
          </w:p>
        </w:tc>
        <w:tc>
          <w:tcPr>
            <w:tcW w:w="6095" w:type="dxa"/>
            <w:gridSpan w:val="2"/>
          </w:tcPr>
          <w:p w:rsidR="0058318D" w:rsidRPr="007C74C3" w:rsidRDefault="0058318D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58318D" w:rsidRPr="007C74C3" w:rsidRDefault="0058318D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58318D" w:rsidRPr="007C74C3" w:rsidRDefault="0058318D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58318D" w:rsidRPr="007C74C3" w:rsidRDefault="0058318D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58318D">
        <w:trPr>
          <w:trHeight w:val="1641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58318D" w:rsidP="00D435D9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L’objet comme</w:t>
            </w:r>
            <w:r w:rsidR="00126FDC" w:rsidRPr="00126FDC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 matériau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58318D">
        <w:trPr>
          <w:trHeight w:val="1641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58318D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L’objet : statut et représentations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58318D">
        <w:trPr>
          <w:trHeight w:val="1641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58318D" w:rsidRDefault="0058318D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 xml:space="preserve">Le numérique </w:t>
            </w:r>
          </w:p>
          <w:p w:rsidR="00126FDC" w:rsidRPr="007C74C3" w:rsidRDefault="0058318D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58318D">
              <w:rPr>
                <w:rFonts w:cs="RegencieLight"/>
                <w:color w:val="31849B" w:themeColor="accent5" w:themeShade="BF"/>
                <w:sz w:val="20"/>
                <w:szCs w:val="20"/>
              </w:rPr>
              <w:t>en tant que processus et matériau artistiques (langages outils supports)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126FDC" w:rsidRPr="007C74C3" w:rsidTr="00D435D9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126FDC" w:rsidRPr="007C74C3" w:rsidRDefault="00126FDC" w:rsidP="00D435D9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126FDC" w:rsidRPr="007C74C3" w:rsidRDefault="00126FDC" w:rsidP="00D435D9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BE20E4" w:rsidRDefault="00126FDC" w:rsidP="00126FDC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tbl>
      <w:tblPr>
        <w:tblStyle w:val="Grilledutableau"/>
        <w:tblW w:w="15902" w:type="dxa"/>
        <w:jc w:val="center"/>
        <w:tblInd w:w="-459" w:type="dxa"/>
        <w:tblLook w:val="04A0"/>
      </w:tblPr>
      <w:tblGrid>
        <w:gridCol w:w="2379"/>
        <w:gridCol w:w="567"/>
        <w:gridCol w:w="5528"/>
        <w:gridCol w:w="2977"/>
        <w:gridCol w:w="2835"/>
        <w:gridCol w:w="1616"/>
      </w:tblGrid>
      <w:tr w:rsidR="00D04D7E" w:rsidRPr="007C74C3" w:rsidTr="00250E2E">
        <w:trPr>
          <w:trHeight w:val="554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D7E" w:rsidRPr="009C6933" w:rsidRDefault="00D04D7E" w:rsidP="00250E2E">
            <w:pPr>
              <w:jc w:val="center"/>
              <w:rPr>
                <w:rFonts w:cs="RegencieLight"/>
                <w:b/>
                <w:color w:val="CD7371"/>
                <w:sz w:val="32"/>
                <w:szCs w:val="32"/>
              </w:rPr>
            </w:pPr>
            <w:r w:rsidRPr="009C6933">
              <w:rPr>
                <w:rFonts w:cs="RegencieLight"/>
                <w:b/>
                <w:color w:val="CD7371"/>
                <w:sz w:val="32"/>
                <w:szCs w:val="32"/>
              </w:rPr>
              <w:lastRenderedPageBreak/>
              <w:t>CYCLE 4</w:t>
            </w:r>
          </w:p>
        </w:tc>
        <w:tc>
          <w:tcPr>
            <w:tcW w:w="1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D7E" w:rsidRPr="007C74C3" w:rsidRDefault="0058318D" w:rsidP="00250E2E">
            <w:pPr>
              <w:jc w:val="center"/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</w:pPr>
            <w:r>
              <w:rPr>
                <w:rFonts w:cs="RegencieLight"/>
                <w:b/>
                <w:color w:val="92CDDC" w:themeColor="accent5" w:themeTint="99"/>
                <w:sz w:val="28"/>
                <w:szCs w:val="28"/>
              </w:rPr>
              <w:t>L’ŒUVRE, L’ESPACE, L’AUTEUR, LE SPECTATEUR</w:t>
            </w:r>
          </w:p>
        </w:tc>
      </w:tr>
      <w:tr w:rsidR="00D04D7E" w:rsidRPr="007C74C3" w:rsidTr="00250E2E">
        <w:trPr>
          <w:jc w:val="center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Questionnements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Propositions pédagogiques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Antiquité → XIX°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Références artistiques</w:t>
            </w:r>
          </w:p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XX° → XXI°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D7E" w:rsidRPr="007C74C3" w:rsidRDefault="00D04D7E" w:rsidP="00250E2E">
            <w:pPr>
              <w:jc w:val="center"/>
              <w:rPr>
                <w:rFonts w:cs="RegencieLight"/>
                <w:b/>
                <w:color w:val="31849B" w:themeColor="accent5" w:themeShade="BF"/>
              </w:rPr>
            </w:pPr>
            <w:r w:rsidRPr="007C74C3">
              <w:rPr>
                <w:rFonts w:cs="RegencieLight"/>
                <w:b/>
                <w:color w:val="31849B" w:themeColor="accent5" w:themeShade="BF"/>
              </w:rPr>
              <w:t>Calendrier</w:t>
            </w:r>
          </w:p>
        </w:tc>
      </w:tr>
      <w:tr w:rsidR="00D04D7E" w:rsidRPr="007C74C3" w:rsidTr="00882613">
        <w:trPr>
          <w:trHeight w:val="2035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D04D7E" w:rsidRPr="007C74C3" w:rsidRDefault="00882613" w:rsidP="00250E2E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Le corps et sa relation à l’œuvre</w:t>
            </w:r>
          </w:p>
        </w:tc>
        <w:tc>
          <w:tcPr>
            <w:tcW w:w="6095" w:type="dxa"/>
            <w:gridSpan w:val="2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882613" w:rsidRPr="007C74C3" w:rsidTr="00882613">
        <w:trPr>
          <w:trHeight w:val="2035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882613" w:rsidRPr="007C74C3" w:rsidRDefault="00882613" w:rsidP="00250E2E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La présentation de l’œuvre, son rapport au lieu</w:t>
            </w:r>
          </w:p>
        </w:tc>
        <w:tc>
          <w:tcPr>
            <w:tcW w:w="6095" w:type="dxa"/>
            <w:gridSpan w:val="2"/>
          </w:tcPr>
          <w:p w:rsidR="00882613" w:rsidRPr="007C74C3" w:rsidRDefault="00882613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882613" w:rsidRPr="007C74C3" w:rsidRDefault="00882613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882613" w:rsidRPr="007C74C3" w:rsidRDefault="00882613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882613" w:rsidRPr="007C74C3" w:rsidRDefault="00882613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D04D7E" w:rsidRPr="007C74C3" w:rsidTr="00882613">
        <w:trPr>
          <w:trHeight w:val="2035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D04D7E" w:rsidRPr="007C74C3" w:rsidRDefault="00882613" w:rsidP="00250E2E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L’expérience sensible de l’espace</w:t>
            </w:r>
          </w:p>
        </w:tc>
        <w:tc>
          <w:tcPr>
            <w:tcW w:w="6095" w:type="dxa"/>
            <w:gridSpan w:val="2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D04D7E" w:rsidRPr="007C74C3" w:rsidTr="00882613">
        <w:trPr>
          <w:trHeight w:val="2035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D04D7E" w:rsidRPr="007C74C3" w:rsidRDefault="00882613" w:rsidP="00250E2E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Les liens entre les arts plastiques et les technologies numériques</w:t>
            </w:r>
          </w:p>
        </w:tc>
        <w:tc>
          <w:tcPr>
            <w:tcW w:w="6095" w:type="dxa"/>
            <w:gridSpan w:val="2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  <w:tr w:rsidR="00D04D7E" w:rsidRPr="007C74C3" w:rsidTr="00250E2E">
        <w:trPr>
          <w:trHeight w:val="1413"/>
          <w:jc w:val="center"/>
        </w:trPr>
        <w:tc>
          <w:tcPr>
            <w:tcW w:w="2379" w:type="dxa"/>
            <w:shd w:val="clear" w:color="auto" w:fill="DBE5F1" w:themeFill="accent1" w:themeFillTint="33"/>
            <w:vAlign w:val="center"/>
          </w:tcPr>
          <w:p w:rsidR="00D04D7E" w:rsidRPr="007C74C3" w:rsidRDefault="00D04D7E" w:rsidP="00250E2E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Autres</w:t>
            </w:r>
          </w:p>
          <w:p w:rsidR="00D04D7E" w:rsidRPr="007C74C3" w:rsidRDefault="00D04D7E" w:rsidP="00250E2E">
            <w:pPr>
              <w:autoSpaceDE w:val="0"/>
              <w:autoSpaceDN w:val="0"/>
              <w:adjustRightInd w:val="0"/>
              <w:jc w:val="center"/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</w:pPr>
            <w:r w:rsidRPr="007C74C3">
              <w:rPr>
                <w:rFonts w:cs="RegencieLight"/>
                <w:b/>
                <w:color w:val="31849B" w:themeColor="accent5" w:themeShade="BF"/>
                <w:sz w:val="28"/>
                <w:szCs w:val="28"/>
              </w:rPr>
              <w:t>questionnements</w:t>
            </w:r>
          </w:p>
        </w:tc>
        <w:tc>
          <w:tcPr>
            <w:tcW w:w="6095" w:type="dxa"/>
            <w:gridSpan w:val="2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977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2835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  <w:tc>
          <w:tcPr>
            <w:tcW w:w="1616" w:type="dxa"/>
          </w:tcPr>
          <w:p w:rsidR="00D04D7E" w:rsidRPr="007C74C3" w:rsidRDefault="00D04D7E" w:rsidP="00250E2E">
            <w:pPr>
              <w:jc w:val="center"/>
              <w:rPr>
                <w:b/>
                <w:color w:val="31849B" w:themeColor="accent5" w:themeShade="BF"/>
              </w:rPr>
            </w:pPr>
          </w:p>
        </w:tc>
      </w:tr>
    </w:tbl>
    <w:p w:rsidR="00D04D7E" w:rsidRPr="00126FDC" w:rsidRDefault="00882613" w:rsidP="00882613">
      <w:pPr>
        <w:jc w:val="right"/>
        <w:rPr>
          <w:b/>
          <w:color w:val="808080" w:themeColor="background1" w:themeShade="80"/>
          <w:sz w:val="18"/>
          <w:szCs w:val="18"/>
        </w:rPr>
      </w:pPr>
      <w:r w:rsidRPr="004C7412">
        <w:rPr>
          <w:b/>
          <w:color w:val="808080" w:themeColor="background1" w:themeShade="80"/>
          <w:sz w:val="18"/>
          <w:szCs w:val="18"/>
        </w:rPr>
        <w:t>Académie de Montpellier / Réunion de bassin / Document élaboré par le cercle d’</w:t>
      </w:r>
      <w:r>
        <w:rPr>
          <w:b/>
          <w:color w:val="808080" w:themeColor="background1" w:themeShade="80"/>
          <w:sz w:val="18"/>
          <w:szCs w:val="18"/>
        </w:rPr>
        <w:t xml:space="preserve">études </w:t>
      </w:r>
      <w:r w:rsidRPr="004C7412">
        <w:rPr>
          <w:b/>
          <w:color w:val="808080" w:themeColor="background1" w:themeShade="80"/>
          <w:sz w:val="18"/>
          <w:szCs w:val="18"/>
        </w:rPr>
        <w:t>Arts plastiques / Janvier 2016</w:t>
      </w:r>
    </w:p>
    <w:sectPr w:rsidR="00D04D7E" w:rsidRPr="00126FDC" w:rsidSect="00395AB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gencie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ne-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BB6"/>
    <w:rsid w:val="000C7588"/>
    <w:rsid w:val="00126FDC"/>
    <w:rsid w:val="00395AB0"/>
    <w:rsid w:val="00470109"/>
    <w:rsid w:val="0058318D"/>
    <w:rsid w:val="007A1E25"/>
    <w:rsid w:val="007C74C3"/>
    <w:rsid w:val="00826D6E"/>
    <w:rsid w:val="00882613"/>
    <w:rsid w:val="009C6933"/>
    <w:rsid w:val="00BB3602"/>
    <w:rsid w:val="00BE20E4"/>
    <w:rsid w:val="00BF5BB6"/>
    <w:rsid w:val="00CB7130"/>
    <w:rsid w:val="00D04D7E"/>
    <w:rsid w:val="00D60AAD"/>
    <w:rsid w:val="00F55AF9"/>
    <w:rsid w:val="00FD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8ADA0-290E-44F3-A141-AB111859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8</cp:revision>
  <dcterms:created xsi:type="dcterms:W3CDTF">2016-05-29T17:33:00Z</dcterms:created>
  <dcterms:modified xsi:type="dcterms:W3CDTF">2016-05-29T17:49:00Z</dcterms:modified>
</cp:coreProperties>
</file>