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5B" w:rsidRDefault="0060175B" w:rsidP="0060175B">
      <w:pPr>
        <w:jc w:val="center"/>
        <w:rPr>
          <w:sz w:val="28"/>
          <w:szCs w:val="28"/>
        </w:rPr>
      </w:pPr>
    </w:p>
    <w:p w:rsidR="0060175B" w:rsidRDefault="002D29E6" w:rsidP="00085EB1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Seuil de rentabilité - SA CLERMONT</w:t>
      </w:r>
    </w:p>
    <w:p w:rsidR="0060175B" w:rsidRDefault="0060175B" w:rsidP="0060175B"/>
    <w:tbl>
      <w:tblPr>
        <w:tblW w:w="5001" w:type="pct"/>
        <w:tblCellSpacing w:w="0" w:type="dxa"/>
        <w:tblInd w:w="6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987"/>
        <w:gridCol w:w="7237"/>
      </w:tblGrid>
      <w:tr w:rsidR="0060175B" w:rsidRPr="00256F9E" w:rsidTr="00635EBE">
        <w:trPr>
          <w:trHeight w:val="225"/>
          <w:tblCellSpacing w:w="0" w:type="dxa"/>
        </w:trPr>
        <w:tc>
          <w:tcPr>
            <w:tcW w:w="1077" w:type="pct"/>
            <w:shd w:val="clear" w:color="auto" w:fill="6699CC"/>
            <w:vAlign w:val="center"/>
          </w:tcPr>
          <w:p w:rsidR="0060175B" w:rsidRDefault="0060175B" w:rsidP="009F6A26">
            <w:pPr>
              <w:spacing w:line="276" w:lineRule="auto"/>
              <w:jc w:val="center"/>
              <w:rPr>
                <w:b/>
                <w:color w:val="FFFFFF"/>
                <w:lang w:eastAsia="en-US"/>
              </w:rPr>
            </w:pPr>
            <w:r>
              <w:rPr>
                <w:b/>
                <w:color w:val="FFFFFF"/>
              </w:rPr>
              <w:t>Propriétés</w:t>
            </w:r>
          </w:p>
        </w:tc>
        <w:tc>
          <w:tcPr>
            <w:tcW w:w="3923" w:type="pct"/>
            <w:shd w:val="clear" w:color="auto" w:fill="6699CC"/>
            <w:vAlign w:val="center"/>
          </w:tcPr>
          <w:p w:rsidR="0060175B" w:rsidRDefault="0060175B" w:rsidP="009F6A26">
            <w:pPr>
              <w:spacing w:line="276" w:lineRule="auto"/>
              <w:jc w:val="center"/>
              <w:rPr>
                <w:b/>
                <w:color w:val="FFFFFF"/>
                <w:lang w:eastAsia="en-US"/>
              </w:rPr>
            </w:pPr>
            <w:r>
              <w:rPr>
                <w:b/>
                <w:color w:val="FFFFFF"/>
              </w:rPr>
              <w:t>Description</w:t>
            </w:r>
          </w:p>
        </w:tc>
      </w:tr>
      <w:tr w:rsidR="0060175B" w:rsidRPr="00256F9E" w:rsidTr="00635EBE">
        <w:trPr>
          <w:cantSplit/>
          <w:tblCellSpacing w:w="0" w:type="dxa"/>
        </w:trPr>
        <w:tc>
          <w:tcPr>
            <w:tcW w:w="1077" w:type="pct"/>
            <w:vAlign w:val="center"/>
          </w:tcPr>
          <w:p w:rsidR="0060175B" w:rsidRDefault="0060175B" w:rsidP="009F6A26">
            <w:pPr>
              <w:spacing w:line="276" w:lineRule="auto"/>
              <w:rPr>
                <w:b/>
                <w:bCs/>
                <w:color w:val="990033"/>
                <w:lang w:eastAsia="en-US"/>
              </w:rPr>
            </w:pPr>
            <w:r>
              <w:rPr>
                <w:b/>
                <w:bCs/>
                <w:color w:val="990033"/>
              </w:rPr>
              <w:t>Intitulé court</w:t>
            </w:r>
          </w:p>
        </w:tc>
        <w:tc>
          <w:tcPr>
            <w:tcW w:w="3923" w:type="pct"/>
          </w:tcPr>
          <w:p w:rsidR="0060175B" w:rsidRDefault="0060175B" w:rsidP="00F1678C">
            <w:pPr>
              <w:spacing w:line="276" w:lineRule="auto"/>
              <w:rPr>
                <w:lang w:eastAsia="en-US"/>
              </w:rPr>
            </w:pPr>
            <w:r>
              <w:t xml:space="preserve">Cas </w:t>
            </w:r>
            <w:r w:rsidR="00F1678C">
              <w:t>SA CLERMONT</w:t>
            </w:r>
          </w:p>
        </w:tc>
      </w:tr>
      <w:tr w:rsidR="0060175B" w:rsidRPr="00256F9E" w:rsidTr="00635EBE">
        <w:trPr>
          <w:cantSplit/>
          <w:tblCellSpacing w:w="0" w:type="dxa"/>
        </w:trPr>
        <w:tc>
          <w:tcPr>
            <w:tcW w:w="1077" w:type="pct"/>
            <w:vAlign w:val="center"/>
          </w:tcPr>
          <w:p w:rsidR="0060175B" w:rsidRDefault="0060175B" w:rsidP="009F6A26">
            <w:pPr>
              <w:spacing w:line="276" w:lineRule="auto"/>
              <w:rPr>
                <w:b/>
                <w:bCs/>
                <w:color w:val="990033"/>
                <w:lang w:eastAsia="en-US"/>
              </w:rPr>
            </w:pPr>
            <w:r>
              <w:rPr>
                <w:b/>
                <w:bCs/>
                <w:color w:val="990033"/>
              </w:rPr>
              <w:t xml:space="preserve">Formation concernée </w:t>
            </w:r>
          </w:p>
        </w:tc>
        <w:tc>
          <w:tcPr>
            <w:tcW w:w="3923" w:type="pct"/>
          </w:tcPr>
          <w:p w:rsidR="0060175B" w:rsidRDefault="0060175B" w:rsidP="000607D1">
            <w:pPr>
              <w:spacing w:line="276" w:lineRule="auto"/>
              <w:rPr>
                <w:lang w:eastAsia="en-US"/>
              </w:rPr>
            </w:pPr>
            <w:r>
              <w:t xml:space="preserve">Classe de </w:t>
            </w:r>
            <w:r w:rsidR="000607D1">
              <w:t xml:space="preserve">Terminale </w:t>
            </w:r>
            <w:r>
              <w:t>Sciences et Technologie du Management et de la Gestion (STMG)</w:t>
            </w:r>
          </w:p>
        </w:tc>
      </w:tr>
      <w:tr w:rsidR="0060175B" w:rsidRPr="00256F9E" w:rsidTr="00635EBE">
        <w:trPr>
          <w:cantSplit/>
          <w:tblCellSpacing w:w="0" w:type="dxa"/>
        </w:trPr>
        <w:tc>
          <w:tcPr>
            <w:tcW w:w="1077" w:type="pct"/>
            <w:vAlign w:val="center"/>
          </w:tcPr>
          <w:p w:rsidR="0060175B" w:rsidRDefault="0060175B" w:rsidP="009F6A26">
            <w:pPr>
              <w:spacing w:line="276" w:lineRule="auto"/>
              <w:rPr>
                <w:b/>
                <w:bCs/>
                <w:color w:val="990033"/>
                <w:lang w:eastAsia="en-US"/>
              </w:rPr>
            </w:pPr>
            <w:r>
              <w:rPr>
                <w:b/>
                <w:bCs/>
                <w:color w:val="990033"/>
              </w:rPr>
              <w:t>Matière</w:t>
            </w:r>
          </w:p>
        </w:tc>
        <w:tc>
          <w:tcPr>
            <w:tcW w:w="3923" w:type="pct"/>
          </w:tcPr>
          <w:p w:rsidR="0060175B" w:rsidRDefault="000607D1" w:rsidP="009F6A26">
            <w:pPr>
              <w:spacing w:line="276" w:lineRule="auto"/>
              <w:rPr>
                <w:lang w:eastAsia="en-US"/>
              </w:rPr>
            </w:pPr>
            <w:r>
              <w:t>Gestion et Finance (GF)</w:t>
            </w:r>
          </w:p>
        </w:tc>
      </w:tr>
      <w:tr w:rsidR="0060175B" w:rsidRPr="0021270A" w:rsidTr="000607D1">
        <w:trPr>
          <w:cantSplit/>
          <w:trHeight w:val="1864"/>
          <w:tblCellSpacing w:w="0" w:type="dxa"/>
        </w:trPr>
        <w:tc>
          <w:tcPr>
            <w:tcW w:w="1077" w:type="pct"/>
            <w:tcBorders>
              <w:left w:val="single" w:sz="4" w:space="0" w:color="auto"/>
            </w:tcBorders>
            <w:vAlign w:val="center"/>
          </w:tcPr>
          <w:p w:rsidR="0060175B" w:rsidRPr="00224E5C" w:rsidRDefault="0060175B" w:rsidP="009F6A26">
            <w:pPr>
              <w:spacing w:line="276" w:lineRule="auto"/>
              <w:rPr>
                <w:b/>
                <w:bCs/>
                <w:color w:val="990033"/>
                <w:lang w:eastAsia="en-US"/>
              </w:rPr>
            </w:pPr>
            <w:r w:rsidRPr="00224E5C">
              <w:rPr>
                <w:b/>
                <w:bCs/>
                <w:color w:val="990033"/>
              </w:rPr>
              <w:t>Notions du programme</w:t>
            </w:r>
          </w:p>
        </w:tc>
        <w:tc>
          <w:tcPr>
            <w:tcW w:w="3923" w:type="pct"/>
            <w:tcBorders>
              <w:bottom w:val="single" w:sz="4" w:space="0" w:color="auto"/>
            </w:tcBorders>
          </w:tcPr>
          <w:p w:rsidR="0060175B" w:rsidRPr="00A400A5" w:rsidRDefault="0060175B" w:rsidP="009F6A26">
            <w:pPr>
              <w:spacing w:line="276" w:lineRule="auto"/>
              <w:rPr>
                <w:b/>
              </w:rPr>
            </w:pPr>
            <w:r w:rsidRPr="00A400A5">
              <w:rPr>
                <w:b/>
              </w:rPr>
              <w:t>Thème </w:t>
            </w:r>
            <w:r w:rsidR="00F1678C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A400A5">
              <w:rPr>
                <w:b/>
              </w:rPr>
              <w:t xml:space="preserve">: </w:t>
            </w:r>
            <w:r w:rsidR="000607D1">
              <w:rPr>
                <w:b/>
              </w:rPr>
              <w:t>CONSTRUIRE UNE IMAGE DE L’ENTREPRISE</w:t>
            </w:r>
          </w:p>
          <w:p w:rsidR="0060175B" w:rsidRPr="00A400A5" w:rsidRDefault="0060175B" w:rsidP="00F1678C">
            <w:pPr>
              <w:spacing w:line="276" w:lineRule="auto"/>
            </w:pPr>
            <w:r w:rsidRPr="00A400A5">
              <w:t xml:space="preserve">Question </w:t>
            </w:r>
            <w:r w:rsidR="006A5EEF">
              <w:t>3</w:t>
            </w:r>
            <w:r w:rsidRPr="00A400A5">
              <w:t xml:space="preserve"> : </w:t>
            </w:r>
            <w:r w:rsidRPr="005E17BB">
              <w:rPr>
                <w:b/>
              </w:rPr>
              <w:t>«</w:t>
            </w:r>
            <w:r w:rsidRPr="00A400A5">
              <w:t> </w:t>
            </w:r>
            <w:r w:rsidR="00F1678C">
              <w:rPr>
                <w:b/>
                <w:bCs/>
              </w:rPr>
              <w:t>Qu’apporte l’analyse des coûts à la prise de décision ?</w:t>
            </w:r>
            <w:r w:rsidRPr="00A400A5">
              <w:t> </w:t>
            </w:r>
            <w:r w:rsidRPr="005E17BB">
              <w:rPr>
                <w:b/>
              </w:rPr>
              <w:t>»</w:t>
            </w:r>
          </w:p>
          <w:p w:rsidR="0060175B" w:rsidRPr="00A400A5" w:rsidRDefault="0060175B" w:rsidP="009F6A26">
            <w:pPr>
              <w:spacing w:line="276" w:lineRule="auto"/>
            </w:pPr>
          </w:p>
          <w:p w:rsidR="0060175B" w:rsidRPr="00A400A5" w:rsidRDefault="0060175B" w:rsidP="009F6A26">
            <w:pPr>
              <w:ind w:left="359"/>
              <w:rPr>
                <w:b/>
                <w:bCs/>
              </w:rPr>
            </w:pPr>
            <w:r w:rsidRPr="00A400A5">
              <w:t>Notions</w:t>
            </w:r>
            <w:r w:rsidRPr="00A400A5">
              <w:rPr>
                <w:b/>
                <w:bCs/>
              </w:rPr>
              <w:t> :</w:t>
            </w:r>
          </w:p>
          <w:p w:rsidR="00F1678C" w:rsidRDefault="00805EBD" w:rsidP="00F1678C">
            <w:pPr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C</w:t>
            </w:r>
            <w:r w:rsidR="00F1678C" w:rsidRPr="00F1678C">
              <w:rPr>
                <w:bCs/>
              </w:rPr>
              <w:t xml:space="preserve">harges fixes et les charges variables ; </w:t>
            </w:r>
          </w:p>
          <w:p w:rsidR="00F1678C" w:rsidRPr="00F1678C" w:rsidRDefault="00805EBD" w:rsidP="00F1678C">
            <w:pPr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S</w:t>
            </w:r>
            <w:r w:rsidR="00F1678C">
              <w:rPr>
                <w:bCs/>
              </w:rPr>
              <w:t>euil de rentabilité</w:t>
            </w:r>
          </w:p>
          <w:p w:rsidR="0060175B" w:rsidRPr="000607D1" w:rsidRDefault="00805EBD" w:rsidP="00F1678C">
            <w:pPr>
              <w:numPr>
                <w:ilvl w:val="0"/>
                <w:numId w:val="2"/>
              </w:numPr>
              <w:rPr>
                <w:bCs/>
              </w:rPr>
            </w:pPr>
            <w:r>
              <w:t>Mesure de</w:t>
            </w:r>
            <w:r w:rsidR="00F1678C">
              <w:t xml:space="preserve"> l’</w:t>
            </w:r>
            <w:r>
              <w:t>impact d'une</w:t>
            </w:r>
            <w:r w:rsidR="00F1678C">
              <w:t xml:space="preserve"> commande supplémentaire </w:t>
            </w:r>
          </w:p>
        </w:tc>
      </w:tr>
      <w:tr w:rsidR="005C2ADE" w:rsidRPr="00256F9E" w:rsidTr="00E81472">
        <w:trPr>
          <w:cantSplit/>
          <w:tblCellSpacing w:w="0" w:type="dxa"/>
        </w:trPr>
        <w:tc>
          <w:tcPr>
            <w:tcW w:w="1077" w:type="pct"/>
            <w:vAlign w:val="center"/>
          </w:tcPr>
          <w:p w:rsidR="005C2ADE" w:rsidRDefault="005C2ADE" w:rsidP="00E81472">
            <w:pPr>
              <w:spacing w:line="276" w:lineRule="auto"/>
              <w:rPr>
                <w:b/>
                <w:bCs/>
                <w:color w:val="990033"/>
                <w:lang w:eastAsia="en-US"/>
              </w:rPr>
            </w:pPr>
            <w:r>
              <w:rPr>
                <w:b/>
                <w:bCs/>
                <w:color w:val="990033"/>
              </w:rPr>
              <w:t xml:space="preserve">Organisation </w:t>
            </w:r>
            <w:r>
              <w:rPr>
                <w:b/>
                <w:bCs/>
                <w:color w:val="990033"/>
              </w:rPr>
              <w:br/>
              <w:t>et Durée</w:t>
            </w:r>
          </w:p>
        </w:tc>
        <w:tc>
          <w:tcPr>
            <w:tcW w:w="3923" w:type="pct"/>
          </w:tcPr>
          <w:p w:rsidR="005E17BB" w:rsidRDefault="00C50112" w:rsidP="00C50112">
            <w:pPr>
              <w:rPr>
                <w:lang w:eastAsia="en-US"/>
              </w:rPr>
            </w:pPr>
            <w:r>
              <w:rPr>
                <w:lang w:eastAsia="en-US"/>
              </w:rPr>
              <w:t>Cours classe entière</w:t>
            </w:r>
            <w:r w:rsidR="005E17BB">
              <w:rPr>
                <w:lang w:eastAsia="en-US"/>
              </w:rPr>
              <w:t>, 3 heures.</w:t>
            </w:r>
          </w:p>
          <w:p w:rsidR="00C50112" w:rsidRPr="00224E5C" w:rsidRDefault="005E17BB" w:rsidP="005E17BB">
            <w:pPr>
              <w:rPr>
                <w:lang w:eastAsia="en-US"/>
              </w:rPr>
            </w:pPr>
            <w:r>
              <w:rPr>
                <w:lang w:eastAsia="en-US"/>
              </w:rPr>
              <w:t>Travail sur tableur : effectif réduit, 2 heures.</w:t>
            </w:r>
          </w:p>
        </w:tc>
      </w:tr>
      <w:tr w:rsidR="00635EBE" w:rsidRPr="00256F9E" w:rsidTr="00635EBE">
        <w:trPr>
          <w:cantSplit/>
          <w:tblCellSpacing w:w="0" w:type="dxa"/>
        </w:trPr>
        <w:tc>
          <w:tcPr>
            <w:tcW w:w="1077" w:type="pct"/>
            <w:vAlign w:val="center"/>
          </w:tcPr>
          <w:p w:rsidR="00635EBE" w:rsidRDefault="00635EBE" w:rsidP="009F6A26">
            <w:pPr>
              <w:spacing w:line="276" w:lineRule="auto"/>
              <w:rPr>
                <w:b/>
                <w:bCs/>
                <w:color w:val="990033"/>
                <w:lang w:eastAsia="en-US"/>
              </w:rPr>
            </w:pPr>
            <w:r>
              <w:rPr>
                <w:b/>
                <w:bCs/>
                <w:color w:val="990033"/>
              </w:rPr>
              <w:t>Scénario pédagogique</w:t>
            </w:r>
          </w:p>
        </w:tc>
        <w:tc>
          <w:tcPr>
            <w:tcW w:w="3923" w:type="pct"/>
          </w:tcPr>
          <w:p w:rsidR="00635EBE" w:rsidRDefault="008A1680" w:rsidP="008A1680">
            <w:pPr>
              <w:ind w:left="60"/>
            </w:pPr>
            <w:r>
              <w:t xml:space="preserve">Cette production a pour but de </w:t>
            </w:r>
            <w:r w:rsidR="005E17BB">
              <w:t>d'approfondir les connaissances de première  relatives au calcul et</w:t>
            </w:r>
            <w:r>
              <w:t xml:space="preserve"> </w:t>
            </w:r>
            <w:r w:rsidR="005E17BB">
              <w:t xml:space="preserve">à la représentation graphique du seuil de rentabilité. </w:t>
            </w:r>
            <w:r>
              <w:t>L</w:t>
            </w:r>
            <w:r w:rsidR="002D29E6">
              <w:t>e contexte utilisé est celui d'une SA du secteur de la menuiserie.</w:t>
            </w:r>
          </w:p>
          <w:p w:rsidR="008A1680" w:rsidRPr="008A1680" w:rsidRDefault="008A1680" w:rsidP="002D29E6">
            <w:pPr>
              <w:ind w:left="60"/>
              <w:rPr>
                <w:rFonts w:ascii="Times New Roman" w:hAnsi="Times New Roman" w:cs="Times New Roman"/>
                <w:color w:val="auto"/>
              </w:rPr>
            </w:pPr>
            <w:r>
              <w:t xml:space="preserve">Il </w:t>
            </w:r>
            <w:r w:rsidR="002D29E6">
              <w:t>s’appuie sur des pré</w:t>
            </w:r>
            <w:r>
              <w:t>requis de 1</w:t>
            </w:r>
            <w:r w:rsidRPr="008A1680">
              <w:rPr>
                <w:vertAlign w:val="superscript"/>
              </w:rPr>
              <w:t>ère</w:t>
            </w:r>
            <w:r w:rsidR="002D29E6">
              <w:t xml:space="preserve"> en Sciences de Gestion.</w:t>
            </w:r>
          </w:p>
        </w:tc>
      </w:tr>
      <w:tr w:rsidR="00635EBE" w:rsidRPr="00256F9E" w:rsidTr="00635EBE">
        <w:trPr>
          <w:cantSplit/>
          <w:tblCellSpacing w:w="0" w:type="dxa"/>
        </w:trPr>
        <w:tc>
          <w:tcPr>
            <w:tcW w:w="1077" w:type="pct"/>
            <w:vAlign w:val="center"/>
          </w:tcPr>
          <w:p w:rsidR="00635EBE" w:rsidRDefault="00635EBE" w:rsidP="009F6A26">
            <w:pPr>
              <w:spacing w:line="276" w:lineRule="auto"/>
              <w:rPr>
                <w:b/>
                <w:bCs/>
                <w:color w:val="990033"/>
              </w:rPr>
            </w:pPr>
            <w:r>
              <w:rPr>
                <w:b/>
                <w:bCs/>
                <w:color w:val="990033"/>
              </w:rPr>
              <w:t>Plan de séquence</w:t>
            </w:r>
          </w:p>
        </w:tc>
        <w:tc>
          <w:tcPr>
            <w:tcW w:w="3923" w:type="pct"/>
          </w:tcPr>
          <w:p w:rsidR="00635EBE" w:rsidRDefault="002D29E6" w:rsidP="0096417D">
            <w:r>
              <w:t>Analyse d'une situation initiale.</w:t>
            </w:r>
          </w:p>
          <w:p w:rsidR="002D29E6" w:rsidRPr="0096417D" w:rsidRDefault="002D29E6" w:rsidP="0096417D">
            <w:r>
              <w:t>Prise en compte d'une commande supplémentaire.</w:t>
            </w:r>
          </w:p>
        </w:tc>
      </w:tr>
      <w:tr w:rsidR="0060175B" w:rsidRPr="00256F9E" w:rsidTr="009F6A26">
        <w:trPr>
          <w:cantSplit/>
          <w:tblCellSpacing w:w="0" w:type="dxa"/>
        </w:trPr>
        <w:tc>
          <w:tcPr>
            <w:tcW w:w="1077" w:type="pct"/>
            <w:vAlign w:val="center"/>
          </w:tcPr>
          <w:p w:rsidR="0060175B" w:rsidRDefault="0060175B" w:rsidP="009F6A26">
            <w:pPr>
              <w:spacing w:line="276" w:lineRule="auto"/>
              <w:rPr>
                <w:b/>
                <w:bCs/>
                <w:color w:val="990033"/>
                <w:lang w:eastAsia="en-US"/>
              </w:rPr>
            </w:pPr>
            <w:r>
              <w:rPr>
                <w:b/>
                <w:bCs/>
                <w:color w:val="990033"/>
              </w:rPr>
              <w:t xml:space="preserve">Outils TIC </w:t>
            </w:r>
          </w:p>
        </w:tc>
        <w:tc>
          <w:tcPr>
            <w:tcW w:w="3923" w:type="pct"/>
          </w:tcPr>
          <w:p w:rsidR="0060175B" w:rsidRPr="00373034" w:rsidRDefault="002D29E6" w:rsidP="009F6A26">
            <w:r>
              <w:t>Utilisation du tableur.</w:t>
            </w:r>
          </w:p>
        </w:tc>
      </w:tr>
      <w:tr w:rsidR="00CF4E9C" w:rsidRPr="00256F9E" w:rsidTr="009F6A26">
        <w:trPr>
          <w:cantSplit/>
          <w:tblCellSpacing w:w="0" w:type="dxa"/>
        </w:trPr>
        <w:tc>
          <w:tcPr>
            <w:tcW w:w="1077" w:type="pct"/>
            <w:vAlign w:val="center"/>
          </w:tcPr>
          <w:p w:rsidR="00CF4E9C" w:rsidRDefault="00CF4E9C" w:rsidP="009F6A26">
            <w:pPr>
              <w:spacing w:line="276" w:lineRule="auto"/>
              <w:rPr>
                <w:b/>
                <w:bCs/>
                <w:color w:val="990033"/>
              </w:rPr>
            </w:pPr>
            <w:r>
              <w:rPr>
                <w:b/>
                <w:bCs/>
                <w:color w:val="990033"/>
              </w:rPr>
              <w:t>Supports pédagogiques</w:t>
            </w:r>
          </w:p>
        </w:tc>
        <w:tc>
          <w:tcPr>
            <w:tcW w:w="3923" w:type="pct"/>
          </w:tcPr>
          <w:p w:rsidR="002D29E6" w:rsidRDefault="002D29E6" w:rsidP="002D29E6">
            <w:pPr>
              <w:pStyle w:val="Paragraphedeliste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FicheEleve_T3Q3.docx</w:t>
            </w:r>
          </w:p>
          <w:p w:rsidR="002D29E6" w:rsidRDefault="002D29E6" w:rsidP="002D29E6">
            <w:pPr>
              <w:pStyle w:val="Paragraphedeliste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SEUIL RENTABILITE eleve.doc</w:t>
            </w:r>
          </w:p>
          <w:p w:rsidR="002D29E6" w:rsidRDefault="002D29E6" w:rsidP="002D29E6">
            <w:pPr>
              <w:pStyle w:val="Paragraphedeliste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SEUIL RENTABILITE prof.doc</w:t>
            </w:r>
          </w:p>
          <w:p w:rsidR="002D29E6" w:rsidRDefault="002D29E6" w:rsidP="002D29E6">
            <w:pPr>
              <w:pStyle w:val="Paragraphedeliste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SEUIL RENTABILITE_eleve.xlsx</w:t>
            </w:r>
          </w:p>
          <w:p w:rsidR="004E4E6C" w:rsidRDefault="002D29E6" w:rsidP="002D29E6">
            <w:pPr>
              <w:pStyle w:val="Paragraphedeliste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SEUIL RENTABILITE_prof.xlsx</w:t>
            </w:r>
          </w:p>
        </w:tc>
      </w:tr>
      <w:tr w:rsidR="00F97C7C" w:rsidRPr="000271E7" w:rsidTr="009F6A26">
        <w:trPr>
          <w:cantSplit/>
          <w:tblCellSpacing w:w="0" w:type="dxa"/>
        </w:trPr>
        <w:tc>
          <w:tcPr>
            <w:tcW w:w="1077" w:type="pct"/>
            <w:vAlign w:val="center"/>
          </w:tcPr>
          <w:p w:rsidR="00F97C7C" w:rsidRDefault="000271E7" w:rsidP="009F6A26">
            <w:pPr>
              <w:spacing w:line="276" w:lineRule="auto"/>
              <w:rPr>
                <w:b/>
                <w:bCs/>
                <w:color w:val="990033"/>
              </w:rPr>
            </w:pPr>
            <w:r>
              <w:rPr>
                <w:b/>
                <w:bCs/>
                <w:color w:val="990033"/>
              </w:rPr>
              <w:t xml:space="preserve">Remarques </w:t>
            </w:r>
          </w:p>
        </w:tc>
        <w:tc>
          <w:tcPr>
            <w:tcW w:w="3923" w:type="pct"/>
          </w:tcPr>
          <w:p w:rsidR="00B44602" w:rsidRPr="000271E7" w:rsidRDefault="00B44602" w:rsidP="002D29E6">
            <w:pPr>
              <w:pStyle w:val="Paragraphedeliste"/>
              <w:numPr>
                <w:ilvl w:val="0"/>
                <w:numId w:val="6"/>
              </w:numPr>
              <w:ind w:left="358" w:hanging="358"/>
              <w:rPr>
                <w:lang w:eastAsia="en-US"/>
              </w:rPr>
            </w:pPr>
          </w:p>
        </w:tc>
      </w:tr>
      <w:tr w:rsidR="008A2717" w:rsidRPr="00256F9E" w:rsidTr="008A2717">
        <w:trPr>
          <w:cantSplit/>
          <w:tblCellSpacing w:w="0" w:type="dxa"/>
        </w:trPr>
        <w:tc>
          <w:tcPr>
            <w:tcW w:w="107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8A2717" w:rsidRDefault="008A2717" w:rsidP="00D15B1F">
            <w:pPr>
              <w:spacing w:line="276" w:lineRule="auto"/>
              <w:rPr>
                <w:b/>
                <w:bCs/>
                <w:color w:val="990033"/>
              </w:rPr>
            </w:pPr>
            <w:r>
              <w:rPr>
                <w:b/>
                <w:bCs/>
                <w:color w:val="990033"/>
              </w:rPr>
              <w:t>Auteur</w:t>
            </w:r>
            <w:r w:rsidR="005E17BB">
              <w:rPr>
                <w:b/>
                <w:bCs/>
                <w:color w:val="990033"/>
              </w:rPr>
              <w:t>s</w:t>
            </w:r>
          </w:p>
        </w:tc>
        <w:tc>
          <w:tcPr>
            <w:tcW w:w="392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A2717" w:rsidRPr="00224E5C" w:rsidRDefault="005E17BB" w:rsidP="00D15B1F">
            <w:pPr>
              <w:rPr>
                <w:lang w:eastAsia="en-US"/>
              </w:rPr>
            </w:pPr>
            <w:bookmarkStart w:id="0" w:name="_GoBack"/>
            <w:r>
              <w:rPr>
                <w:lang w:eastAsia="en-US"/>
              </w:rPr>
              <w:t xml:space="preserve">Martine </w:t>
            </w:r>
            <w:proofErr w:type="spellStart"/>
            <w:r>
              <w:rPr>
                <w:lang w:eastAsia="en-US"/>
              </w:rPr>
              <w:t>PEDRAGOSA</w:t>
            </w:r>
            <w:proofErr w:type="spellEnd"/>
            <w:r>
              <w:rPr>
                <w:lang w:eastAsia="en-US"/>
              </w:rPr>
              <w:t xml:space="preserve"> et Agnès LOUVET</w:t>
            </w:r>
            <w:bookmarkEnd w:id="0"/>
          </w:p>
        </w:tc>
      </w:tr>
      <w:tr w:rsidR="008A2717" w:rsidRPr="00256F9E" w:rsidTr="008A2717">
        <w:trPr>
          <w:cantSplit/>
          <w:tblCellSpacing w:w="0" w:type="dxa"/>
        </w:trPr>
        <w:tc>
          <w:tcPr>
            <w:tcW w:w="107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8A2717" w:rsidRDefault="008A2717" w:rsidP="00D15B1F">
            <w:pPr>
              <w:spacing w:line="276" w:lineRule="auto"/>
              <w:rPr>
                <w:b/>
                <w:bCs/>
                <w:color w:val="990033"/>
              </w:rPr>
            </w:pPr>
            <w:r>
              <w:rPr>
                <w:b/>
                <w:bCs/>
                <w:color w:val="990033"/>
              </w:rPr>
              <w:t>Version</w:t>
            </w:r>
          </w:p>
        </w:tc>
        <w:tc>
          <w:tcPr>
            <w:tcW w:w="392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A2717" w:rsidRPr="008A2717" w:rsidRDefault="008A2717" w:rsidP="00D15B1F">
            <w:pPr>
              <w:rPr>
                <w:lang w:eastAsia="en-US"/>
              </w:rPr>
            </w:pPr>
            <w:r w:rsidRPr="008A2717">
              <w:rPr>
                <w:lang w:eastAsia="en-US"/>
              </w:rPr>
              <w:t>1.0</w:t>
            </w:r>
          </w:p>
        </w:tc>
      </w:tr>
      <w:tr w:rsidR="008A2717" w:rsidRPr="00256F9E" w:rsidTr="008A2717">
        <w:trPr>
          <w:cantSplit/>
          <w:tblCellSpacing w:w="0" w:type="dxa"/>
        </w:trPr>
        <w:tc>
          <w:tcPr>
            <w:tcW w:w="107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8A2717" w:rsidRDefault="008A2717" w:rsidP="00D15B1F">
            <w:pPr>
              <w:spacing w:line="276" w:lineRule="auto"/>
              <w:rPr>
                <w:b/>
                <w:bCs/>
                <w:color w:val="990033"/>
              </w:rPr>
            </w:pPr>
            <w:r>
              <w:rPr>
                <w:b/>
                <w:bCs/>
                <w:color w:val="990033"/>
              </w:rPr>
              <w:t>Date de publication</w:t>
            </w:r>
          </w:p>
        </w:tc>
        <w:tc>
          <w:tcPr>
            <w:tcW w:w="392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A2717" w:rsidRPr="008A2717" w:rsidRDefault="004E4E6C" w:rsidP="002D29E6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2D29E6">
              <w:rPr>
                <w:lang w:eastAsia="en-US"/>
              </w:rPr>
              <w:t>3</w:t>
            </w:r>
            <w:r>
              <w:rPr>
                <w:lang w:eastAsia="en-US"/>
              </w:rPr>
              <w:t>/</w:t>
            </w:r>
            <w:r w:rsidR="002D29E6">
              <w:rPr>
                <w:lang w:eastAsia="en-US"/>
              </w:rPr>
              <w:t>07</w:t>
            </w:r>
            <w:r w:rsidR="008A2717" w:rsidRPr="008A2717">
              <w:rPr>
                <w:lang w:eastAsia="en-US"/>
              </w:rPr>
              <w:t>/201</w:t>
            </w:r>
            <w:r w:rsidR="008A2717">
              <w:rPr>
                <w:lang w:eastAsia="en-US"/>
              </w:rPr>
              <w:t>3</w:t>
            </w:r>
          </w:p>
        </w:tc>
      </w:tr>
    </w:tbl>
    <w:p w:rsidR="000F36BF" w:rsidRDefault="000F36BF"/>
    <w:sectPr w:rsidR="000F36BF" w:rsidSect="000F36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467" w:rsidRDefault="00554467" w:rsidP="0046481C">
      <w:r>
        <w:separator/>
      </w:r>
    </w:p>
  </w:endnote>
  <w:endnote w:type="continuationSeparator" w:id="0">
    <w:p w:rsidR="00554467" w:rsidRDefault="00554467" w:rsidP="0046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81C" w:rsidRPr="0046481C" w:rsidRDefault="00C87E3F" w:rsidP="0046481C">
    <w:pPr>
      <w:pStyle w:val="Pieddepage"/>
      <w:pBdr>
        <w:top w:val="thinThickSmallGap" w:sz="24" w:space="1" w:color="622423" w:themeColor="accent2" w:themeShade="7F"/>
      </w:pBdr>
      <w:tabs>
        <w:tab w:val="left" w:pos="6096"/>
      </w:tabs>
      <w:rPr>
        <w:rFonts w:asciiTheme="majorHAnsi" w:hAnsiTheme="majorHAnsi"/>
      </w:rPr>
    </w:pPr>
    <w:r>
      <w:rPr>
        <w:lang w:eastAsia="en-US"/>
      </w:rPr>
      <w:t xml:space="preserve">Martine </w:t>
    </w:r>
    <w:proofErr w:type="spellStart"/>
    <w:r>
      <w:rPr>
        <w:lang w:eastAsia="en-US"/>
      </w:rPr>
      <w:t>PEDRAGOSA</w:t>
    </w:r>
    <w:proofErr w:type="spellEnd"/>
    <w:r>
      <w:rPr>
        <w:lang w:eastAsia="en-US"/>
      </w:rPr>
      <w:t xml:space="preserve"> et Agnès LOUVET</w:t>
    </w:r>
    <w:r>
      <w:rPr>
        <w:rFonts w:asciiTheme="majorHAnsi" w:hAnsiTheme="majorHAnsi"/>
      </w:rPr>
      <w:t xml:space="preserve"> </w:t>
    </w:r>
    <w:r w:rsidR="0046481C">
      <w:rPr>
        <w:rFonts w:asciiTheme="majorHAnsi" w:hAnsiTheme="majorHAnsi"/>
      </w:rPr>
      <w:t>– Académie de Montpellier</w:t>
    </w:r>
    <w:r w:rsidR="0046481C">
      <w:rPr>
        <w:rFonts w:asciiTheme="majorHAnsi" w:hAnsiTheme="majorHAnsi"/>
      </w:rPr>
      <w:tab/>
    </w:r>
    <w:r w:rsidR="000067DE">
      <w:rPr>
        <w:rFonts w:asciiTheme="majorHAnsi" w:hAnsiTheme="majorHAnsi"/>
      </w:rPr>
      <w:tab/>
    </w:r>
    <w:r w:rsidR="0046481C">
      <w:rPr>
        <w:rFonts w:asciiTheme="majorHAnsi" w:hAnsiTheme="majorHAns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467" w:rsidRDefault="00554467" w:rsidP="0046481C">
      <w:r>
        <w:separator/>
      </w:r>
    </w:p>
  </w:footnote>
  <w:footnote w:type="continuationSeparator" w:id="0">
    <w:p w:rsidR="00554467" w:rsidRDefault="00554467" w:rsidP="00464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81C" w:rsidRDefault="000067DE">
    <w:pPr>
      <w:pStyle w:val="En-tte"/>
    </w:pPr>
    <w:r w:rsidRPr="000067D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-823595</wp:posOffset>
          </wp:positionH>
          <wp:positionV relativeFrom="paragraph">
            <wp:posOffset>-201930</wp:posOffset>
          </wp:positionV>
          <wp:extent cx="781050" cy="685800"/>
          <wp:effectExtent l="19050" t="0" r="0" b="0"/>
          <wp:wrapNone/>
          <wp:docPr id="2" name="Image 2" descr="logo_EG_1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0" name="Image 11" descr="logo_EG_100.pn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067D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-344805</wp:posOffset>
          </wp:positionV>
          <wp:extent cx="6800850" cy="914400"/>
          <wp:effectExtent l="19050" t="0" r="0" b="0"/>
          <wp:wrapNone/>
          <wp:docPr id="1" name="Image 1" descr="flamme_mtp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9" name="Image 9" descr="flamme_mtpl.png"/>
                  <pic:cNvPicPr>
                    <a:picLocks noChangeAspect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542F"/>
    <w:multiLevelType w:val="hybridMultilevel"/>
    <w:tmpl w:val="849A93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B25D7"/>
    <w:multiLevelType w:val="hybridMultilevel"/>
    <w:tmpl w:val="C0E494B8"/>
    <w:lvl w:ilvl="0" w:tplc="9A9A8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6302A"/>
    <w:multiLevelType w:val="hybridMultilevel"/>
    <w:tmpl w:val="03288C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B2105"/>
    <w:multiLevelType w:val="hybridMultilevel"/>
    <w:tmpl w:val="0AAE34A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1D61A9A"/>
    <w:multiLevelType w:val="hybridMultilevel"/>
    <w:tmpl w:val="34E007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C67E6B"/>
    <w:multiLevelType w:val="hybridMultilevel"/>
    <w:tmpl w:val="895C30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5B"/>
    <w:rsid w:val="000067DE"/>
    <w:rsid w:val="000271E7"/>
    <w:rsid w:val="000604AC"/>
    <w:rsid w:val="000607D1"/>
    <w:rsid w:val="00085EB1"/>
    <w:rsid w:val="000F36BF"/>
    <w:rsid w:val="002D29E6"/>
    <w:rsid w:val="003E0599"/>
    <w:rsid w:val="0046481C"/>
    <w:rsid w:val="00474660"/>
    <w:rsid w:val="004D25DD"/>
    <w:rsid w:val="004E4E6C"/>
    <w:rsid w:val="00554467"/>
    <w:rsid w:val="005B470F"/>
    <w:rsid w:val="005C2ADE"/>
    <w:rsid w:val="005E17BB"/>
    <w:rsid w:val="0060175B"/>
    <w:rsid w:val="00635EBE"/>
    <w:rsid w:val="006A5EEF"/>
    <w:rsid w:val="006B3F99"/>
    <w:rsid w:val="00805EBD"/>
    <w:rsid w:val="008068EE"/>
    <w:rsid w:val="008A1680"/>
    <w:rsid w:val="008A2717"/>
    <w:rsid w:val="008A7CEA"/>
    <w:rsid w:val="0096417D"/>
    <w:rsid w:val="00982DFC"/>
    <w:rsid w:val="00B44602"/>
    <w:rsid w:val="00B63DF5"/>
    <w:rsid w:val="00B75D3D"/>
    <w:rsid w:val="00BF0341"/>
    <w:rsid w:val="00C50112"/>
    <w:rsid w:val="00C76F4D"/>
    <w:rsid w:val="00C87E3F"/>
    <w:rsid w:val="00CF4E9C"/>
    <w:rsid w:val="00D20FE3"/>
    <w:rsid w:val="00D50EAD"/>
    <w:rsid w:val="00DA591F"/>
    <w:rsid w:val="00DD3366"/>
    <w:rsid w:val="00E00BAD"/>
    <w:rsid w:val="00E326FB"/>
    <w:rsid w:val="00F129B2"/>
    <w:rsid w:val="00F1678C"/>
    <w:rsid w:val="00F97C7C"/>
    <w:rsid w:val="00FE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5B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481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48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481C"/>
    <w:rPr>
      <w:rFonts w:ascii="Arial" w:eastAsia="Times New Roman" w:hAnsi="Arial" w:cs="Arial"/>
      <w:color w:val="000080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48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481C"/>
    <w:rPr>
      <w:rFonts w:ascii="Arial" w:eastAsia="Times New Roman" w:hAnsi="Arial" w:cs="Arial"/>
      <w:color w:val="000080"/>
      <w:sz w:val="20"/>
      <w:szCs w:val="20"/>
      <w:lang w:eastAsia="fr-FR"/>
    </w:rPr>
  </w:style>
  <w:style w:type="paragraph" w:customStyle="1" w:styleId="Default">
    <w:name w:val="Default"/>
    <w:rsid w:val="00F16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5B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481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48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481C"/>
    <w:rPr>
      <w:rFonts w:ascii="Arial" w:eastAsia="Times New Roman" w:hAnsi="Arial" w:cs="Arial"/>
      <w:color w:val="000080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48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481C"/>
    <w:rPr>
      <w:rFonts w:ascii="Arial" w:eastAsia="Times New Roman" w:hAnsi="Arial" w:cs="Arial"/>
      <w:color w:val="000080"/>
      <w:sz w:val="20"/>
      <w:szCs w:val="20"/>
      <w:lang w:eastAsia="fr-FR"/>
    </w:rPr>
  </w:style>
  <w:style w:type="paragraph" w:customStyle="1" w:styleId="Default">
    <w:name w:val="Default"/>
    <w:rsid w:val="00F16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Support PGI - Q01</vt:lpstr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PGI - Q01</dc:title>
  <dc:subject>Support de formation</dc:subject>
  <dc:creator>joan</dc:creator>
  <cp:keywords>PGI; GF</cp:keywords>
  <cp:lastModifiedBy>ADMIN</cp:lastModifiedBy>
  <cp:revision>5</cp:revision>
  <dcterms:created xsi:type="dcterms:W3CDTF">2013-07-03T09:16:00Z</dcterms:created>
  <dcterms:modified xsi:type="dcterms:W3CDTF">2014-05-15T15:23:00Z</dcterms:modified>
</cp:coreProperties>
</file>