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5B" w:rsidRDefault="0060175B" w:rsidP="0060175B">
      <w:pPr>
        <w:jc w:val="center"/>
        <w:rPr>
          <w:sz w:val="28"/>
          <w:szCs w:val="28"/>
        </w:rPr>
      </w:pPr>
      <w:r>
        <w:rPr>
          <w:sz w:val="28"/>
          <w:szCs w:val="28"/>
        </w:rPr>
        <w:t>Support de formation STMG</w:t>
      </w:r>
    </w:p>
    <w:p w:rsidR="0060175B" w:rsidRDefault="0060175B" w:rsidP="0060175B">
      <w:pPr>
        <w:jc w:val="center"/>
        <w:rPr>
          <w:sz w:val="28"/>
          <w:szCs w:val="28"/>
        </w:rPr>
      </w:pPr>
    </w:p>
    <w:p w:rsidR="0060175B" w:rsidRDefault="000607D1" w:rsidP="0060175B">
      <w:pPr>
        <w:pBdr>
          <w:top w:val="single" w:sz="4" w:space="1" w:color="auto"/>
          <w:left w:val="single" w:sz="4" w:space="1" w:color="auto"/>
          <w:bottom w:val="single" w:sz="4" w:space="1" w:color="auto"/>
          <w:right w:val="single" w:sz="4" w:space="4" w:color="auto"/>
        </w:pBdr>
        <w:jc w:val="center"/>
        <w:rPr>
          <w:sz w:val="28"/>
          <w:szCs w:val="28"/>
        </w:rPr>
      </w:pPr>
      <w:r>
        <w:rPr>
          <w:sz w:val="28"/>
          <w:szCs w:val="28"/>
        </w:rPr>
        <w:t>Construire une image de l’entreprise</w:t>
      </w:r>
      <w:r w:rsidR="0060175B">
        <w:rPr>
          <w:sz w:val="28"/>
          <w:szCs w:val="28"/>
        </w:rPr>
        <w:t xml:space="preserve"> liée aux processus de gestion </w:t>
      </w:r>
      <w:r w:rsidR="00CF4E9C">
        <w:rPr>
          <w:sz w:val="28"/>
          <w:szCs w:val="28"/>
        </w:rPr>
        <w:br/>
      </w:r>
      <w:r w:rsidR="0060175B">
        <w:rPr>
          <w:sz w:val="28"/>
          <w:szCs w:val="28"/>
        </w:rPr>
        <w:t>traités dans le PGI EBP Open Line</w:t>
      </w:r>
    </w:p>
    <w:p w:rsidR="0060175B" w:rsidRDefault="0060175B" w:rsidP="0060175B">
      <w:pPr>
        <w:jc w:val="center"/>
        <w:rPr>
          <w:sz w:val="28"/>
          <w:szCs w:val="28"/>
        </w:rPr>
      </w:pPr>
    </w:p>
    <w:p w:rsidR="0060175B" w:rsidRDefault="0060175B" w:rsidP="0060175B">
      <w:pPr>
        <w:jc w:val="center"/>
        <w:rPr>
          <w:sz w:val="28"/>
          <w:szCs w:val="28"/>
        </w:rPr>
      </w:pPr>
      <w:r w:rsidRPr="00224E5C">
        <w:rPr>
          <w:sz w:val="28"/>
          <w:szCs w:val="28"/>
        </w:rPr>
        <w:t xml:space="preserve">Cas </w:t>
      </w:r>
      <w:r w:rsidR="000607D1">
        <w:rPr>
          <w:sz w:val="28"/>
          <w:szCs w:val="28"/>
        </w:rPr>
        <w:t>VINTAGE Q0</w:t>
      </w:r>
      <w:r w:rsidR="00693014">
        <w:rPr>
          <w:sz w:val="28"/>
          <w:szCs w:val="28"/>
        </w:rPr>
        <w:t>2</w:t>
      </w:r>
    </w:p>
    <w:p w:rsidR="0060175B" w:rsidRDefault="0060175B" w:rsidP="0060175B"/>
    <w:tbl>
      <w:tblPr>
        <w:tblW w:w="5001" w:type="pct"/>
        <w:tblCellSpacing w:w="0" w:type="dxa"/>
        <w:tblInd w:w="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60" w:type="dxa"/>
          <w:left w:w="60" w:type="dxa"/>
          <w:bottom w:w="60" w:type="dxa"/>
          <w:right w:w="60" w:type="dxa"/>
        </w:tblCellMar>
        <w:tblLook w:val="00A0" w:firstRow="1" w:lastRow="0" w:firstColumn="1" w:lastColumn="0" w:noHBand="0" w:noVBand="0"/>
      </w:tblPr>
      <w:tblGrid>
        <w:gridCol w:w="1987"/>
        <w:gridCol w:w="7237"/>
      </w:tblGrid>
      <w:tr w:rsidR="0060175B" w:rsidRPr="00256F9E" w:rsidTr="00635EBE">
        <w:trPr>
          <w:trHeight w:val="225"/>
          <w:tblCellSpacing w:w="0" w:type="dxa"/>
        </w:trPr>
        <w:tc>
          <w:tcPr>
            <w:tcW w:w="1077" w:type="pct"/>
            <w:shd w:val="clear" w:color="auto" w:fill="6699CC"/>
            <w:vAlign w:val="center"/>
          </w:tcPr>
          <w:p w:rsidR="0060175B" w:rsidRDefault="0060175B" w:rsidP="009F6A26">
            <w:pPr>
              <w:spacing w:line="276" w:lineRule="auto"/>
              <w:jc w:val="center"/>
              <w:rPr>
                <w:b/>
                <w:color w:val="FFFFFF"/>
                <w:lang w:eastAsia="en-US"/>
              </w:rPr>
            </w:pPr>
            <w:r>
              <w:rPr>
                <w:b/>
                <w:color w:val="FFFFFF"/>
              </w:rPr>
              <w:t>Propriétés</w:t>
            </w:r>
          </w:p>
        </w:tc>
        <w:tc>
          <w:tcPr>
            <w:tcW w:w="3923" w:type="pct"/>
            <w:shd w:val="clear" w:color="auto" w:fill="6699CC"/>
            <w:vAlign w:val="center"/>
          </w:tcPr>
          <w:p w:rsidR="0060175B" w:rsidRDefault="0060175B" w:rsidP="009F6A26">
            <w:pPr>
              <w:spacing w:line="276" w:lineRule="auto"/>
              <w:jc w:val="center"/>
              <w:rPr>
                <w:b/>
                <w:color w:val="FFFFFF"/>
                <w:lang w:eastAsia="en-US"/>
              </w:rPr>
            </w:pPr>
            <w:r>
              <w:rPr>
                <w:b/>
                <w:color w:val="FFFFFF"/>
              </w:rPr>
              <w:t>Description</w:t>
            </w:r>
          </w:p>
        </w:tc>
      </w:tr>
      <w:tr w:rsidR="0060175B" w:rsidRPr="00256F9E" w:rsidTr="00635EBE">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Intitulé court</w:t>
            </w:r>
          </w:p>
        </w:tc>
        <w:tc>
          <w:tcPr>
            <w:tcW w:w="3923" w:type="pct"/>
          </w:tcPr>
          <w:p w:rsidR="0060175B" w:rsidRDefault="0060175B" w:rsidP="00693014">
            <w:pPr>
              <w:spacing w:line="276" w:lineRule="auto"/>
              <w:rPr>
                <w:lang w:eastAsia="en-US"/>
              </w:rPr>
            </w:pPr>
            <w:r>
              <w:t xml:space="preserve">Cas </w:t>
            </w:r>
            <w:r w:rsidR="000607D1">
              <w:t>Vintage</w:t>
            </w:r>
            <w:r>
              <w:t xml:space="preserve"> : </w:t>
            </w:r>
            <w:r w:rsidR="000607D1">
              <w:t>Q0</w:t>
            </w:r>
            <w:r w:rsidR="00693014">
              <w:t>2</w:t>
            </w:r>
            <w:r w:rsidR="000607D1">
              <w:t xml:space="preserve"> – </w:t>
            </w:r>
            <w:r w:rsidR="00693014">
              <w:t>Comment faciliter l’échange d’informations financières</w:t>
            </w:r>
            <w:r w:rsidR="000607D1">
              <w:t> ?</w:t>
            </w:r>
            <w:r>
              <w:t xml:space="preserve"> </w:t>
            </w:r>
          </w:p>
        </w:tc>
      </w:tr>
      <w:tr w:rsidR="0060175B" w:rsidRPr="00256F9E" w:rsidTr="00635EBE">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 xml:space="preserve">Formation concernée </w:t>
            </w:r>
          </w:p>
        </w:tc>
        <w:tc>
          <w:tcPr>
            <w:tcW w:w="3923" w:type="pct"/>
          </w:tcPr>
          <w:p w:rsidR="0060175B" w:rsidRDefault="0060175B" w:rsidP="000607D1">
            <w:pPr>
              <w:spacing w:line="276" w:lineRule="auto"/>
              <w:rPr>
                <w:lang w:eastAsia="en-US"/>
              </w:rPr>
            </w:pPr>
            <w:r>
              <w:t xml:space="preserve">Classe de </w:t>
            </w:r>
            <w:r w:rsidR="000607D1">
              <w:t xml:space="preserve">Terminale </w:t>
            </w:r>
            <w:r>
              <w:t>Sciences et Technologie du Management et de la Gestion (STMG)</w:t>
            </w:r>
          </w:p>
        </w:tc>
      </w:tr>
      <w:tr w:rsidR="0060175B" w:rsidRPr="00256F9E" w:rsidTr="00635EBE">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Matière</w:t>
            </w:r>
          </w:p>
        </w:tc>
        <w:tc>
          <w:tcPr>
            <w:tcW w:w="3923" w:type="pct"/>
          </w:tcPr>
          <w:p w:rsidR="0060175B" w:rsidRDefault="000607D1" w:rsidP="009F6A26">
            <w:pPr>
              <w:spacing w:line="276" w:lineRule="auto"/>
              <w:rPr>
                <w:lang w:eastAsia="en-US"/>
              </w:rPr>
            </w:pPr>
            <w:r>
              <w:t>Gestion et Finance (GF)</w:t>
            </w:r>
          </w:p>
        </w:tc>
      </w:tr>
      <w:tr w:rsidR="0060175B" w:rsidRPr="0021270A" w:rsidTr="000607D1">
        <w:trPr>
          <w:cantSplit/>
          <w:trHeight w:val="1864"/>
          <w:tblCellSpacing w:w="0" w:type="dxa"/>
        </w:trPr>
        <w:tc>
          <w:tcPr>
            <w:tcW w:w="1077" w:type="pct"/>
            <w:tcBorders>
              <w:left w:val="single" w:sz="4" w:space="0" w:color="auto"/>
            </w:tcBorders>
            <w:vAlign w:val="center"/>
          </w:tcPr>
          <w:p w:rsidR="0060175B" w:rsidRPr="00224E5C" w:rsidRDefault="0060175B" w:rsidP="009F6A26">
            <w:pPr>
              <w:spacing w:line="276" w:lineRule="auto"/>
              <w:rPr>
                <w:b/>
                <w:bCs/>
                <w:color w:val="990033"/>
                <w:lang w:eastAsia="en-US"/>
              </w:rPr>
            </w:pPr>
            <w:r w:rsidRPr="00224E5C">
              <w:rPr>
                <w:b/>
                <w:bCs/>
                <w:color w:val="990033"/>
              </w:rPr>
              <w:t>Notions du programme</w:t>
            </w:r>
          </w:p>
        </w:tc>
        <w:tc>
          <w:tcPr>
            <w:tcW w:w="3923" w:type="pct"/>
            <w:tcBorders>
              <w:bottom w:val="single" w:sz="4" w:space="0" w:color="auto"/>
            </w:tcBorders>
          </w:tcPr>
          <w:p w:rsidR="0060175B" w:rsidRPr="00A400A5" w:rsidRDefault="0060175B" w:rsidP="009F6A26">
            <w:pPr>
              <w:spacing w:line="276" w:lineRule="auto"/>
              <w:rPr>
                <w:b/>
              </w:rPr>
            </w:pPr>
            <w:r w:rsidRPr="00A400A5">
              <w:rPr>
                <w:b/>
              </w:rPr>
              <w:t>Thème </w:t>
            </w:r>
            <w:r w:rsidR="000607D1">
              <w:rPr>
                <w:b/>
              </w:rPr>
              <w:t>1</w:t>
            </w:r>
            <w:r>
              <w:rPr>
                <w:b/>
              </w:rPr>
              <w:t xml:space="preserve"> </w:t>
            </w:r>
            <w:r w:rsidRPr="00A400A5">
              <w:rPr>
                <w:b/>
              </w:rPr>
              <w:t xml:space="preserve">: </w:t>
            </w:r>
            <w:r w:rsidR="000607D1">
              <w:rPr>
                <w:b/>
              </w:rPr>
              <w:t>CONSTRUIRE UNE IMAGE DE L’ENTREPRISE</w:t>
            </w:r>
          </w:p>
          <w:p w:rsidR="0060175B" w:rsidRPr="00A400A5" w:rsidRDefault="0060175B" w:rsidP="009F6A26">
            <w:pPr>
              <w:spacing w:line="276" w:lineRule="auto"/>
            </w:pPr>
            <w:r w:rsidRPr="00A400A5">
              <w:t xml:space="preserve">Question </w:t>
            </w:r>
            <w:r w:rsidR="00693014">
              <w:t>2</w:t>
            </w:r>
            <w:r w:rsidRPr="00A400A5">
              <w:t> : « </w:t>
            </w:r>
            <w:r w:rsidR="00693014">
              <w:t>Comment faciliter l’échange d’informations financières </w:t>
            </w:r>
            <w:r w:rsidRPr="00A400A5">
              <w:rPr>
                <w:i/>
              </w:rPr>
              <w:t>?</w:t>
            </w:r>
            <w:r w:rsidRPr="00A400A5">
              <w:t> »</w:t>
            </w:r>
          </w:p>
          <w:p w:rsidR="0060175B" w:rsidRPr="00A400A5" w:rsidRDefault="0060175B" w:rsidP="009F6A26">
            <w:pPr>
              <w:spacing w:line="276" w:lineRule="auto"/>
            </w:pPr>
          </w:p>
          <w:p w:rsidR="0060175B" w:rsidRPr="00A400A5" w:rsidRDefault="0060175B" w:rsidP="009F6A26">
            <w:pPr>
              <w:ind w:left="359"/>
              <w:rPr>
                <w:b/>
                <w:bCs/>
              </w:rPr>
            </w:pPr>
            <w:r w:rsidRPr="00A400A5">
              <w:t>Notions</w:t>
            </w:r>
            <w:r w:rsidRPr="00A400A5">
              <w:rPr>
                <w:b/>
                <w:bCs/>
              </w:rPr>
              <w:t> :</w:t>
            </w:r>
          </w:p>
          <w:p w:rsidR="0060175B" w:rsidRDefault="00693014" w:rsidP="000607D1">
            <w:pPr>
              <w:numPr>
                <w:ilvl w:val="0"/>
                <w:numId w:val="2"/>
              </w:numPr>
              <w:rPr>
                <w:bCs/>
              </w:rPr>
            </w:pPr>
            <w:r>
              <w:rPr>
                <w:bCs/>
              </w:rPr>
              <w:t>Cadre comptable</w:t>
            </w:r>
            <w:r w:rsidR="005C6A86">
              <w:rPr>
                <w:bCs/>
              </w:rPr>
              <w:t>.</w:t>
            </w:r>
          </w:p>
          <w:p w:rsidR="00693014" w:rsidRPr="000607D1" w:rsidRDefault="00693014" w:rsidP="000607D1">
            <w:pPr>
              <w:numPr>
                <w:ilvl w:val="0"/>
                <w:numId w:val="2"/>
              </w:numPr>
              <w:rPr>
                <w:bCs/>
              </w:rPr>
            </w:pPr>
            <w:r>
              <w:rPr>
                <w:bCs/>
              </w:rPr>
              <w:t>Image fidèle</w:t>
            </w:r>
            <w:r w:rsidR="005C6A86">
              <w:rPr>
                <w:bCs/>
              </w:rPr>
              <w:t>.</w:t>
            </w:r>
          </w:p>
        </w:tc>
      </w:tr>
      <w:tr w:rsidR="005C2ADE" w:rsidRPr="00256F9E" w:rsidTr="00E81472">
        <w:trPr>
          <w:cantSplit/>
          <w:tblCellSpacing w:w="0" w:type="dxa"/>
        </w:trPr>
        <w:tc>
          <w:tcPr>
            <w:tcW w:w="1077" w:type="pct"/>
            <w:vAlign w:val="center"/>
          </w:tcPr>
          <w:p w:rsidR="005C2ADE" w:rsidRDefault="005C2ADE" w:rsidP="00E81472">
            <w:pPr>
              <w:spacing w:line="276" w:lineRule="auto"/>
              <w:rPr>
                <w:b/>
                <w:bCs/>
                <w:color w:val="990033"/>
                <w:lang w:eastAsia="en-US"/>
              </w:rPr>
            </w:pPr>
            <w:r>
              <w:rPr>
                <w:b/>
                <w:bCs/>
                <w:color w:val="990033"/>
              </w:rPr>
              <w:t xml:space="preserve">Organisation </w:t>
            </w:r>
            <w:r>
              <w:rPr>
                <w:b/>
                <w:bCs/>
                <w:color w:val="990033"/>
              </w:rPr>
              <w:br/>
              <w:t>et Durée</w:t>
            </w:r>
          </w:p>
        </w:tc>
        <w:tc>
          <w:tcPr>
            <w:tcW w:w="3923" w:type="pct"/>
          </w:tcPr>
          <w:p w:rsidR="005C2ADE" w:rsidRDefault="005C2ADE" w:rsidP="00E81472">
            <w:pPr>
              <w:rPr>
                <w:lang w:eastAsia="en-US"/>
              </w:rPr>
            </w:pPr>
            <w:r>
              <w:rPr>
                <w:lang w:eastAsia="en-US"/>
              </w:rPr>
              <w:t>TD en salle informatique (1/2 groupe) - 2 heures</w:t>
            </w:r>
          </w:p>
          <w:p w:rsidR="005C2ADE" w:rsidRDefault="005C2ADE" w:rsidP="00E81472">
            <w:pPr>
              <w:rPr>
                <w:lang w:eastAsia="en-US"/>
              </w:rPr>
            </w:pPr>
            <w:r>
              <w:rPr>
                <w:lang w:eastAsia="en-US"/>
              </w:rPr>
              <w:t>Répartition des tâches pour 2 lycéens (1 responsable des achats et 1 responsable des ventes) pour l’étude d’une même société.</w:t>
            </w:r>
          </w:p>
          <w:p w:rsidR="005C2ADE" w:rsidRPr="00224E5C" w:rsidRDefault="005C2ADE" w:rsidP="00E81472">
            <w:pPr>
              <w:rPr>
                <w:lang w:eastAsia="en-US"/>
              </w:rPr>
            </w:pPr>
          </w:p>
        </w:tc>
      </w:tr>
      <w:tr w:rsidR="00635EBE" w:rsidRPr="00256F9E" w:rsidTr="00635EBE">
        <w:trPr>
          <w:cantSplit/>
          <w:tblCellSpacing w:w="0" w:type="dxa"/>
        </w:trPr>
        <w:tc>
          <w:tcPr>
            <w:tcW w:w="1077" w:type="pct"/>
            <w:vAlign w:val="center"/>
          </w:tcPr>
          <w:p w:rsidR="00635EBE" w:rsidRDefault="00635EBE" w:rsidP="009F6A26">
            <w:pPr>
              <w:spacing w:line="276" w:lineRule="auto"/>
              <w:rPr>
                <w:b/>
                <w:bCs/>
                <w:color w:val="990033"/>
                <w:lang w:eastAsia="en-US"/>
              </w:rPr>
            </w:pPr>
            <w:r>
              <w:rPr>
                <w:b/>
                <w:bCs/>
                <w:color w:val="990033"/>
              </w:rPr>
              <w:t>Scénario pédagogique</w:t>
            </w:r>
          </w:p>
        </w:tc>
        <w:tc>
          <w:tcPr>
            <w:tcW w:w="3923" w:type="pct"/>
          </w:tcPr>
          <w:p w:rsidR="00635EBE" w:rsidRPr="00F86382" w:rsidRDefault="00635EBE" w:rsidP="00635EBE">
            <w:pPr>
              <w:ind w:left="60"/>
              <w:rPr>
                <w:rFonts w:ascii="Times New Roman" w:hAnsi="Times New Roman" w:cs="Times New Roman"/>
                <w:color w:val="auto"/>
              </w:rPr>
            </w:pPr>
            <w:r w:rsidRPr="00F86382">
              <w:t xml:space="preserve">Ce scénario invite à découvrir </w:t>
            </w:r>
            <w:r w:rsidR="00982DFC">
              <w:t xml:space="preserve">(ou confirmer) </w:t>
            </w:r>
            <w:r w:rsidR="00693014">
              <w:t>les enjeux de la normalisation comptable</w:t>
            </w:r>
            <w:r w:rsidR="00982DFC">
              <w:t xml:space="preserve"> dans le cadre du fonctionnement d’une entreprise</w:t>
            </w:r>
            <w:r>
              <w:t>.</w:t>
            </w:r>
          </w:p>
          <w:p w:rsidR="00635EBE" w:rsidRPr="00F86382" w:rsidRDefault="00635EBE" w:rsidP="00635EBE">
            <w:pPr>
              <w:rPr>
                <w:rFonts w:ascii="Times New Roman" w:hAnsi="Times New Roman" w:cs="Times New Roman"/>
                <w:color w:val="auto"/>
              </w:rPr>
            </w:pPr>
          </w:p>
          <w:p w:rsidR="00635EBE" w:rsidRDefault="00635EBE" w:rsidP="00635EBE">
            <w:pPr>
              <w:ind w:left="60"/>
            </w:pPr>
            <w:r w:rsidRPr="00F86382">
              <w:t xml:space="preserve">Cette découverte, conduite à l’aide du progiciel de gestion de l’entreprise, porte </w:t>
            </w:r>
            <w:r w:rsidR="00D50EAD">
              <w:t>s</w:t>
            </w:r>
            <w:r w:rsidRPr="00F86382">
              <w:t>ur le niveau opérationnel.</w:t>
            </w:r>
          </w:p>
          <w:p w:rsidR="00635EBE" w:rsidRPr="00F86382" w:rsidRDefault="00635EBE" w:rsidP="00635EBE">
            <w:pPr>
              <w:ind w:left="60"/>
              <w:rPr>
                <w:rFonts w:ascii="Times New Roman" w:hAnsi="Times New Roman" w:cs="Times New Roman"/>
                <w:color w:val="auto"/>
              </w:rPr>
            </w:pPr>
          </w:p>
          <w:p w:rsidR="00982DFC" w:rsidRDefault="00635EBE" w:rsidP="00635EBE">
            <w:pPr>
              <w:ind w:left="60"/>
            </w:pPr>
            <w:r w:rsidRPr="00F86382">
              <w:t>Au niveau opérationnel</w:t>
            </w:r>
            <w:r w:rsidR="00982DFC">
              <w:t xml:space="preserve"> afin de </w:t>
            </w:r>
            <w:r w:rsidR="00693014">
              <w:t>mettre en évidence les enjeux de la standardisation, de la fiabilité, de la lisibilité et de la comparabilité de l’information financière</w:t>
            </w:r>
            <w:r w:rsidR="00982DFC">
              <w:t>.</w:t>
            </w:r>
            <w:r w:rsidRPr="00F86382">
              <w:t xml:space="preserve"> </w:t>
            </w:r>
          </w:p>
          <w:p w:rsidR="00982DFC" w:rsidRPr="005C0F85" w:rsidRDefault="00635EBE" w:rsidP="00982DFC">
            <w:pPr>
              <w:pStyle w:val="Paragraphedeliste"/>
              <w:numPr>
                <w:ilvl w:val="0"/>
                <w:numId w:val="4"/>
              </w:numPr>
            </w:pPr>
            <w:r w:rsidRPr="005C0F85">
              <w:t xml:space="preserve">pour </w:t>
            </w:r>
            <w:r w:rsidR="005C0F85" w:rsidRPr="005C0F85">
              <w:t>intégrer la notion du respect chronologique des opérations</w:t>
            </w:r>
            <w:r w:rsidR="00D50EAD" w:rsidRPr="005C0F85">
              <w:t>.</w:t>
            </w:r>
          </w:p>
          <w:p w:rsidR="00635EBE" w:rsidRPr="005C0F85" w:rsidRDefault="00982DFC" w:rsidP="00982DFC">
            <w:pPr>
              <w:pStyle w:val="Paragraphedeliste"/>
              <w:numPr>
                <w:ilvl w:val="0"/>
                <w:numId w:val="4"/>
              </w:numPr>
              <w:rPr>
                <w:rFonts w:ascii="Times New Roman" w:hAnsi="Times New Roman" w:cs="Times New Roman"/>
                <w:color w:val="auto"/>
              </w:rPr>
            </w:pPr>
            <w:r w:rsidRPr="005C0F85">
              <w:t xml:space="preserve">pour </w:t>
            </w:r>
            <w:r w:rsidR="005C0F85" w:rsidRPr="005C0F85">
              <w:t>montrer l’importance de personnaliser le plan comptable de l’entreprise (comptes individuels des tiers)</w:t>
            </w:r>
            <w:r w:rsidRPr="005C0F85">
              <w:t>.</w:t>
            </w:r>
            <w:r w:rsidR="00635EBE" w:rsidRPr="005C0F85">
              <w:t xml:space="preserve"> </w:t>
            </w:r>
          </w:p>
          <w:p w:rsidR="00635EBE" w:rsidRPr="005C0F85" w:rsidRDefault="00635EBE" w:rsidP="00635EBE">
            <w:pPr>
              <w:rPr>
                <w:rFonts w:ascii="Times New Roman" w:hAnsi="Times New Roman" w:cs="Times New Roman"/>
                <w:color w:val="auto"/>
              </w:rPr>
            </w:pPr>
          </w:p>
          <w:p w:rsidR="005C2ADE" w:rsidRPr="005C0F85" w:rsidRDefault="005C2ADE" w:rsidP="00635EBE">
            <w:pPr>
              <w:rPr>
                <w:color w:val="auto"/>
              </w:rPr>
            </w:pPr>
            <w:r w:rsidRPr="005C0F85">
              <w:rPr>
                <w:color w:val="auto"/>
              </w:rPr>
              <w:t>Pour le responsable des achats :</w:t>
            </w:r>
          </w:p>
          <w:p w:rsidR="005C2ADE" w:rsidRPr="005C0F85" w:rsidRDefault="005C2ADE" w:rsidP="005C2ADE">
            <w:pPr>
              <w:pStyle w:val="Paragraphedeliste"/>
              <w:numPr>
                <w:ilvl w:val="0"/>
                <w:numId w:val="5"/>
              </w:numPr>
              <w:rPr>
                <w:color w:val="auto"/>
              </w:rPr>
            </w:pPr>
            <w:r w:rsidRPr="005C0F85">
              <w:rPr>
                <w:color w:val="auto"/>
              </w:rPr>
              <w:t>Analyse</w:t>
            </w:r>
            <w:r w:rsidR="005C0F85" w:rsidRPr="005C0F85">
              <w:rPr>
                <w:color w:val="auto"/>
              </w:rPr>
              <w:t>r</w:t>
            </w:r>
            <w:r w:rsidRPr="005C0F85">
              <w:rPr>
                <w:color w:val="auto"/>
              </w:rPr>
              <w:t xml:space="preserve"> </w:t>
            </w:r>
            <w:r w:rsidR="005C0F85" w:rsidRPr="005C0F85">
              <w:rPr>
                <w:color w:val="auto"/>
              </w:rPr>
              <w:t>les dettes fournisseurs</w:t>
            </w:r>
            <w:r w:rsidRPr="005C0F85">
              <w:rPr>
                <w:color w:val="auto"/>
              </w:rPr>
              <w:t xml:space="preserve"> à la suite </w:t>
            </w:r>
            <w:r w:rsidR="005C0F85" w:rsidRPr="005C0F85">
              <w:rPr>
                <w:color w:val="auto"/>
              </w:rPr>
              <w:t>d’un courriel d’un fournisseur divers</w:t>
            </w:r>
            <w:r w:rsidRPr="005C0F85">
              <w:rPr>
                <w:color w:val="auto"/>
              </w:rPr>
              <w:t xml:space="preserve"> (</w:t>
            </w:r>
            <w:r w:rsidR="005C0F85" w:rsidRPr="005C0F85">
              <w:rPr>
                <w:color w:val="auto"/>
              </w:rPr>
              <w:t>deux factures pour un même montant dans le compte global fournisseurs, pour lequel il est difficile de confirmer ou non le paiement</w:t>
            </w:r>
            <w:r w:rsidRPr="005C0F85">
              <w:rPr>
                <w:color w:val="auto"/>
              </w:rPr>
              <w:t>)</w:t>
            </w:r>
          </w:p>
          <w:p w:rsidR="005C2ADE" w:rsidRPr="005C0F85" w:rsidRDefault="005C0F85" w:rsidP="005C2ADE">
            <w:pPr>
              <w:pStyle w:val="Paragraphedeliste"/>
              <w:numPr>
                <w:ilvl w:val="0"/>
                <w:numId w:val="5"/>
              </w:numPr>
              <w:rPr>
                <w:color w:val="auto"/>
              </w:rPr>
            </w:pPr>
            <w:r w:rsidRPr="005C0F85">
              <w:rPr>
                <w:color w:val="auto"/>
              </w:rPr>
              <w:t>Montrer l’importance du respect chronologique (règlement comptabilité avant la facture)</w:t>
            </w:r>
            <w:r w:rsidR="005C2ADE" w:rsidRPr="005C0F85">
              <w:rPr>
                <w:color w:val="auto"/>
              </w:rPr>
              <w:t>.</w:t>
            </w:r>
          </w:p>
          <w:p w:rsidR="005C2ADE" w:rsidRPr="005C0F85" w:rsidRDefault="005C2ADE" w:rsidP="005C2ADE">
            <w:pPr>
              <w:rPr>
                <w:color w:val="auto"/>
              </w:rPr>
            </w:pPr>
            <w:r w:rsidRPr="005C0F85">
              <w:rPr>
                <w:color w:val="auto"/>
              </w:rPr>
              <w:t>Pour le responsable des ventes :</w:t>
            </w:r>
          </w:p>
          <w:p w:rsidR="005C2ADE" w:rsidRPr="00670FE6" w:rsidRDefault="00670FE6" w:rsidP="005C2ADE">
            <w:pPr>
              <w:pStyle w:val="Paragraphedeliste"/>
              <w:numPr>
                <w:ilvl w:val="0"/>
                <w:numId w:val="5"/>
              </w:numPr>
              <w:rPr>
                <w:color w:val="auto"/>
              </w:rPr>
            </w:pPr>
            <w:r w:rsidRPr="00670FE6">
              <w:rPr>
                <w:color w:val="auto"/>
              </w:rPr>
              <w:t>Analyser les créances clients à la suite d’un courriel d’un client divers (deux factures pour un même montant dans le compte global client, pour lequel il est difficile de confirmer ou non le paiement</w:t>
            </w:r>
          </w:p>
          <w:p w:rsidR="005C2ADE" w:rsidRPr="00670FE6" w:rsidRDefault="00670FE6" w:rsidP="005C2ADE">
            <w:pPr>
              <w:pStyle w:val="Paragraphedeliste"/>
              <w:numPr>
                <w:ilvl w:val="0"/>
                <w:numId w:val="5"/>
              </w:numPr>
              <w:rPr>
                <w:color w:val="auto"/>
              </w:rPr>
            </w:pPr>
            <w:r w:rsidRPr="00670FE6">
              <w:rPr>
                <w:color w:val="auto"/>
              </w:rPr>
              <w:t>Montrer l’importance du respect chronologique (règlement comptabilité avant la facture</w:t>
            </w:r>
            <w:r w:rsidR="005C2ADE" w:rsidRPr="00670FE6">
              <w:rPr>
                <w:color w:val="auto"/>
              </w:rPr>
              <w:t>).</w:t>
            </w:r>
          </w:p>
          <w:p w:rsidR="00635EBE" w:rsidRDefault="00635EBE" w:rsidP="00982DFC">
            <w:pPr>
              <w:ind w:left="60"/>
              <w:rPr>
                <w:lang w:eastAsia="en-US"/>
              </w:rPr>
            </w:pPr>
          </w:p>
        </w:tc>
      </w:tr>
      <w:tr w:rsidR="00635EBE" w:rsidRPr="00256F9E" w:rsidTr="00635EBE">
        <w:trPr>
          <w:cantSplit/>
          <w:tblCellSpacing w:w="0" w:type="dxa"/>
        </w:trPr>
        <w:tc>
          <w:tcPr>
            <w:tcW w:w="1077" w:type="pct"/>
            <w:vAlign w:val="center"/>
          </w:tcPr>
          <w:p w:rsidR="00635EBE" w:rsidRDefault="00635EBE" w:rsidP="009F6A26">
            <w:pPr>
              <w:spacing w:line="276" w:lineRule="auto"/>
              <w:rPr>
                <w:b/>
                <w:bCs/>
                <w:color w:val="990033"/>
              </w:rPr>
            </w:pPr>
            <w:r>
              <w:rPr>
                <w:b/>
                <w:bCs/>
                <w:color w:val="990033"/>
              </w:rPr>
              <w:lastRenderedPageBreak/>
              <w:t>Plan de séquence</w:t>
            </w:r>
          </w:p>
        </w:tc>
        <w:tc>
          <w:tcPr>
            <w:tcW w:w="3923" w:type="pct"/>
          </w:tcPr>
          <w:p w:rsidR="00635EBE" w:rsidRDefault="00635EBE" w:rsidP="00635EBE">
            <w:pPr>
              <w:rPr>
                <w:b/>
              </w:rPr>
            </w:pPr>
            <w:r>
              <w:rPr>
                <w:b/>
              </w:rPr>
              <w:t>Analyse de l’organisation (2h) – Travail individuel</w:t>
            </w:r>
            <w:r w:rsidR="00670FE6">
              <w:rPr>
                <w:b/>
              </w:rPr>
              <w:t xml:space="preserve"> et collectif</w:t>
            </w:r>
          </w:p>
          <w:p w:rsidR="00670FE6" w:rsidRDefault="00670FE6" w:rsidP="00670FE6">
            <w:pPr>
              <w:rPr>
                <w:lang w:eastAsia="en-US"/>
              </w:rPr>
            </w:pPr>
            <w:r>
              <w:rPr>
                <w:lang w:eastAsia="en-US"/>
              </w:rPr>
              <w:t>ELEVES</w:t>
            </w:r>
          </w:p>
          <w:p w:rsidR="00635EBE" w:rsidRDefault="00E326FB" w:rsidP="00635EBE">
            <w:pPr>
              <w:rPr>
                <w:b/>
              </w:rPr>
            </w:pPr>
            <w:r>
              <w:rPr>
                <w:b/>
              </w:rPr>
              <w:t xml:space="preserve">Cette </w:t>
            </w:r>
            <w:r w:rsidR="00635EBE">
              <w:rPr>
                <w:b/>
              </w:rPr>
              <w:t>Partie individuelle pourra être gérée de la façon suivante :</w:t>
            </w:r>
          </w:p>
          <w:p w:rsidR="00635EBE" w:rsidRDefault="00635EBE" w:rsidP="00635EBE">
            <w:pPr>
              <w:ind w:left="708"/>
            </w:pPr>
            <w:r>
              <w:t>Lecture (</w:t>
            </w:r>
            <w:r w:rsidR="005C2ADE">
              <w:t>individuelle</w:t>
            </w:r>
            <w:r>
              <w:t>) de la présentation et travail sur le vocabulaire (construction d'un lexique)</w:t>
            </w:r>
            <w:r w:rsidR="005C2ADE">
              <w:t>.</w:t>
            </w:r>
          </w:p>
          <w:p w:rsidR="00635EBE" w:rsidRDefault="00635EBE" w:rsidP="00635EBE">
            <w:pPr>
              <w:ind w:left="708"/>
            </w:pPr>
            <w:r>
              <w:t>Répondre aux différentes questions en recherchant l’information dans les modules du PGI ou dans le contexte</w:t>
            </w:r>
            <w:r w:rsidR="005C2ADE">
              <w:t>.</w:t>
            </w:r>
          </w:p>
          <w:p w:rsidR="00635EBE" w:rsidRDefault="00635EBE" w:rsidP="00635EBE">
            <w:pPr>
              <w:ind w:left="708"/>
              <w:rPr>
                <w:lang w:eastAsia="en-US"/>
              </w:rPr>
            </w:pPr>
            <w:r>
              <w:t>Effectuer les manipulations demandées</w:t>
            </w:r>
            <w:r w:rsidR="005C2ADE">
              <w:t>.</w:t>
            </w:r>
          </w:p>
          <w:p w:rsidR="00670FE6" w:rsidRDefault="00670FE6" w:rsidP="00670FE6">
            <w:pPr>
              <w:rPr>
                <w:b/>
              </w:rPr>
            </w:pPr>
            <w:r>
              <w:rPr>
                <w:b/>
              </w:rPr>
              <w:t>Cette Partie collective pourra être gérée de la façon suivante :</w:t>
            </w:r>
          </w:p>
          <w:p w:rsidR="00670FE6" w:rsidRDefault="00670FE6" w:rsidP="00670FE6">
            <w:pPr>
              <w:ind w:left="708"/>
              <w:rPr>
                <w:lang w:eastAsia="en-US"/>
              </w:rPr>
            </w:pPr>
            <w:r>
              <w:t>Répondre aux différentes questions sur l’utilité de comptes individuels et sur le respect chronologique des opérations comptables.</w:t>
            </w:r>
          </w:p>
          <w:p w:rsidR="00635EBE" w:rsidRDefault="00635EBE" w:rsidP="00635EBE">
            <w:pPr>
              <w:rPr>
                <w:lang w:eastAsia="en-US"/>
              </w:rPr>
            </w:pPr>
            <w:r>
              <w:rPr>
                <w:lang w:eastAsia="en-US"/>
              </w:rPr>
              <w:t>ENSEIGNANT</w:t>
            </w:r>
          </w:p>
          <w:p w:rsidR="00635EBE" w:rsidRDefault="00635EBE" w:rsidP="00635EBE">
            <w:pPr>
              <w:ind w:left="708"/>
              <w:rPr>
                <w:lang w:eastAsia="en-US"/>
              </w:rPr>
            </w:pPr>
            <w:r>
              <w:rPr>
                <w:lang w:eastAsia="en-US"/>
              </w:rPr>
              <w:t>Faire définir les mots important</w:t>
            </w:r>
            <w:r w:rsidR="005C2ADE">
              <w:rPr>
                <w:lang w:eastAsia="en-US"/>
              </w:rPr>
              <w:t>.</w:t>
            </w:r>
            <w:r>
              <w:rPr>
                <w:lang w:eastAsia="en-US"/>
              </w:rPr>
              <w:br/>
              <w:t>Assister les élèves pour répondre aux questions</w:t>
            </w:r>
            <w:r w:rsidR="005C2ADE">
              <w:rPr>
                <w:lang w:eastAsia="en-US"/>
              </w:rPr>
              <w:t>.</w:t>
            </w:r>
          </w:p>
          <w:p w:rsidR="00635EBE" w:rsidRDefault="00635EBE" w:rsidP="00670FE6">
            <w:pPr>
              <w:ind w:left="708"/>
              <w:rPr>
                <w:lang w:eastAsia="en-US"/>
              </w:rPr>
            </w:pPr>
            <w:r>
              <w:rPr>
                <w:lang w:eastAsia="en-US"/>
              </w:rPr>
              <w:t>Assister les élèves pour manipuler le PGI</w:t>
            </w:r>
            <w:r w:rsidR="005C2ADE">
              <w:rPr>
                <w:lang w:eastAsia="en-US"/>
              </w:rPr>
              <w:t>.</w:t>
            </w:r>
          </w:p>
        </w:tc>
      </w:tr>
      <w:tr w:rsidR="0060175B" w:rsidRPr="00256F9E" w:rsidTr="009F6A26">
        <w:trPr>
          <w:cantSplit/>
          <w:tblCellSpacing w:w="0" w:type="dxa"/>
        </w:trPr>
        <w:tc>
          <w:tcPr>
            <w:tcW w:w="1077" w:type="pct"/>
            <w:vAlign w:val="center"/>
          </w:tcPr>
          <w:p w:rsidR="0060175B" w:rsidRDefault="0060175B" w:rsidP="009F6A26">
            <w:pPr>
              <w:spacing w:line="276" w:lineRule="auto"/>
              <w:rPr>
                <w:b/>
                <w:bCs/>
                <w:color w:val="990033"/>
                <w:lang w:eastAsia="en-US"/>
              </w:rPr>
            </w:pPr>
            <w:r>
              <w:rPr>
                <w:b/>
                <w:bCs/>
                <w:color w:val="990033"/>
              </w:rPr>
              <w:t xml:space="preserve">Outils TIC </w:t>
            </w:r>
          </w:p>
        </w:tc>
        <w:tc>
          <w:tcPr>
            <w:tcW w:w="3923" w:type="pct"/>
          </w:tcPr>
          <w:p w:rsidR="0060175B" w:rsidRPr="00373034" w:rsidRDefault="0060175B" w:rsidP="009F6A26">
            <w:r>
              <w:t xml:space="preserve">Cette ressource implique de recourir à un progiciel de gestion intégré (PGI) utilisé pour réaliser des démonstrations interactives en classe entière ou des travaux dirigés en groupes. </w:t>
            </w:r>
          </w:p>
        </w:tc>
      </w:tr>
      <w:tr w:rsidR="00CF4E9C" w:rsidRPr="00256F9E" w:rsidTr="009F6A26">
        <w:trPr>
          <w:cantSplit/>
          <w:tblCellSpacing w:w="0" w:type="dxa"/>
        </w:trPr>
        <w:tc>
          <w:tcPr>
            <w:tcW w:w="1077" w:type="pct"/>
            <w:vAlign w:val="center"/>
          </w:tcPr>
          <w:p w:rsidR="00CF4E9C" w:rsidRDefault="00CF4E9C" w:rsidP="009F6A26">
            <w:pPr>
              <w:spacing w:line="276" w:lineRule="auto"/>
              <w:rPr>
                <w:b/>
                <w:bCs/>
                <w:color w:val="990033"/>
              </w:rPr>
            </w:pPr>
            <w:r>
              <w:rPr>
                <w:b/>
                <w:bCs/>
                <w:color w:val="990033"/>
              </w:rPr>
              <w:t>Supports pédagogiques</w:t>
            </w:r>
          </w:p>
        </w:tc>
        <w:tc>
          <w:tcPr>
            <w:tcW w:w="3923" w:type="pct"/>
          </w:tcPr>
          <w:p w:rsidR="0046481C" w:rsidRPr="000271E7" w:rsidRDefault="0046481C" w:rsidP="009F6A26">
            <w:pPr>
              <w:rPr>
                <w:lang w:eastAsia="en-US"/>
              </w:rPr>
            </w:pPr>
            <w:r w:rsidRPr="000271E7">
              <w:rPr>
                <w:lang w:eastAsia="en-US"/>
              </w:rPr>
              <w:t>Support pédagogique : Support de formation STMG</w:t>
            </w:r>
          </w:p>
          <w:p w:rsidR="00CF4E9C" w:rsidRPr="000271E7" w:rsidRDefault="003D5604" w:rsidP="009F6A26">
            <w:pPr>
              <w:rPr>
                <w:strike/>
                <w:lang w:eastAsia="en-US"/>
              </w:rPr>
            </w:pPr>
            <w:r w:rsidRPr="00B9195F">
              <w:rPr>
                <w:lang w:eastAsia="en-US"/>
              </w:rPr>
              <w:t xml:space="preserve">Base de données à restaurer : </w:t>
            </w:r>
            <w:proofErr w:type="spellStart"/>
            <w:r w:rsidRPr="00B9195F">
              <w:rPr>
                <w:lang w:eastAsia="en-US"/>
              </w:rPr>
              <w:t>Sauvegarde_VINTAGE</w:t>
            </w:r>
            <w:proofErr w:type="spellEnd"/>
            <w:r w:rsidRPr="00B9195F">
              <w:rPr>
                <w:lang w:eastAsia="en-US"/>
              </w:rPr>
              <w:t xml:space="preserve"> France (3)_2013_05_02</w:t>
            </w:r>
            <w:bookmarkStart w:id="0" w:name="_GoBack"/>
            <w:bookmarkEnd w:id="0"/>
          </w:p>
          <w:p w:rsidR="0046481C" w:rsidRPr="000271E7" w:rsidRDefault="0046481C" w:rsidP="0046481C">
            <w:pPr>
              <w:pStyle w:val="Paragraphedeliste"/>
              <w:numPr>
                <w:ilvl w:val="0"/>
                <w:numId w:val="3"/>
              </w:numPr>
              <w:ind w:left="358"/>
              <w:rPr>
                <w:lang w:eastAsia="en-US"/>
              </w:rPr>
            </w:pPr>
            <w:r w:rsidRPr="000271E7">
              <w:rPr>
                <w:lang w:eastAsia="en-US"/>
              </w:rPr>
              <w:t>Il est impératif de modifier le nom de la société lors de la restauration en fonction du nombre de groupe utilisateurs.</w:t>
            </w:r>
          </w:p>
          <w:p w:rsidR="0046481C" w:rsidRPr="000271E7" w:rsidRDefault="0046481C" w:rsidP="009F6A26">
            <w:pPr>
              <w:rPr>
                <w:lang w:eastAsia="en-US"/>
              </w:rPr>
            </w:pPr>
            <w:r w:rsidRPr="000271E7">
              <w:rPr>
                <w:lang w:eastAsia="en-US"/>
              </w:rPr>
              <w:t xml:space="preserve">Mode opératoire sur le PGI d’EBP : </w:t>
            </w:r>
            <w:proofErr w:type="spellStart"/>
            <w:r w:rsidRPr="000271E7">
              <w:rPr>
                <w:lang w:eastAsia="en-US"/>
              </w:rPr>
              <w:t>Mode_operatoire_PGI</w:t>
            </w:r>
            <w:proofErr w:type="spellEnd"/>
          </w:p>
          <w:p w:rsidR="0046481C" w:rsidRPr="000271E7" w:rsidRDefault="00CF4E9C" w:rsidP="009F6A26">
            <w:pPr>
              <w:rPr>
                <w:lang w:eastAsia="en-US"/>
              </w:rPr>
            </w:pPr>
            <w:r w:rsidRPr="000271E7">
              <w:rPr>
                <w:lang w:eastAsia="en-US"/>
              </w:rPr>
              <w:t xml:space="preserve">Support élève : </w:t>
            </w:r>
            <w:r w:rsidR="000271E7" w:rsidRPr="000271E7">
              <w:rPr>
                <w:lang w:eastAsia="en-US"/>
              </w:rPr>
              <w:t>cas_vintage_</w:t>
            </w:r>
            <w:r w:rsidRPr="000271E7">
              <w:rPr>
                <w:lang w:eastAsia="en-US"/>
              </w:rPr>
              <w:t>pgi_</w:t>
            </w:r>
            <w:r w:rsidR="000271E7" w:rsidRPr="000271E7">
              <w:rPr>
                <w:lang w:eastAsia="en-US"/>
              </w:rPr>
              <w:t>Q0</w:t>
            </w:r>
            <w:r w:rsidR="005C0F85">
              <w:rPr>
                <w:lang w:eastAsia="en-US"/>
              </w:rPr>
              <w:t>2_v01</w:t>
            </w:r>
            <w:r w:rsidR="0046481C" w:rsidRPr="000271E7">
              <w:rPr>
                <w:lang w:eastAsia="en-US"/>
              </w:rPr>
              <w:t xml:space="preserve"> </w:t>
            </w:r>
          </w:p>
          <w:p w:rsidR="00CF4E9C" w:rsidRPr="000271E7" w:rsidRDefault="0046481C" w:rsidP="0046481C">
            <w:pPr>
              <w:pStyle w:val="Paragraphedeliste"/>
              <w:numPr>
                <w:ilvl w:val="0"/>
                <w:numId w:val="2"/>
              </w:numPr>
              <w:ind w:left="358"/>
              <w:rPr>
                <w:lang w:eastAsia="en-US"/>
              </w:rPr>
            </w:pPr>
            <w:r w:rsidRPr="000271E7">
              <w:rPr>
                <w:lang w:eastAsia="en-US"/>
              </w:rPr>
              <w:t>Le fichier est destiné à être imprimé dans sa globalité pour distribuer par lot de 4 pages successives pour chacun des acteurs d’un groupe de travail.</w:t>
            </w:r>
          </w:p>
          <w:p w:rsidR="0046481C" w:rsidRPr="000271E7" w:rsidRDefault="0046481C" w:rsidP="0046481C">
            <w:pPr>
              <w:pStyle w:val="Paragraphedeliste"/>
              <w:numPr>
                <w:ilvl w:val="0"/>
                <w:numId w:val="2"/>
              </w:numPr>
              <w:ind w:left="358"/>
              <w:rPr>
                <w:strike/>
                <w:lang w:eastAsia="en-US"/>
              </w:rPr>
            </w:pPr>
            <w:r w:rsidRPr="000271E7">
              <w:rPr>
                <w:lang w:eastAsia="en-US"/>
              </w:rPr>
              <w:t>Pour les autres groupes il est possible de modifier le numéro de la société (par le biais de la fonction « Rechercher/Remplacer ») en fonction du nombre de groupe</w:t>
            </w:r>
            <w:r w:rsidR="00BF0341" w:rsidRPr="000271E7">
              <w:rPr>
                <w:lang w:eastAsia="en-US"/>
              </w:rPr>
              <w:t>s</w:t>
            </w:r>
            <w:r w:rsidR="000271E7" w:rsidRPr="000271E7">
              <w:rPr>
                <w:lang w:eastAsia="en-US"/>
              </w:rPr>
              <w:t>.</w:t>
            </w:r>
          </w:p>
          <w:p w:rsidR="00CF4E9C" w:rsidRDefault="0046481C" w:rsidP="00670FE6">
            <w:pPr>
              <w:pStyle w:val="Paragraphedeliste"/>
              <w:numPr>
                <w:ilvl w:val="0"/>
                <w:numId w:val="2"/>
              </w:numPr>
              <w:ind w:left="358"/>
              <w:rPr>
                <w:lang w:eastAsia="en-US"/>
              </w:rPr>
            </w:pPr>
            <w:r>
              <w:rPr>
                <w:lang w:eastAsia="en-US"/>
              </w:rPr>
              <w:t xml:space="preserve">Il est proposé les noms suivants : </w:t>
            </w:r>
            <w:r w:rsidR="000271E7">
              <w:rPr>
                <w:lang w:eastAsia="en-US"/>
              </w:rPr>
              <w:t>Vintage_10, Vintage_20, Vintage_30, …</w:t>
            </w:r>
            <w:r>
              <w:rPr>
                <w:lang w:eastAsia="en-US"/>
              </w:rPr>
              <w:t>.</w:t>
            </w:r>
            <w:r w:rsidR="000271E7">
              <w:rPr>
                <w:lang w:eastAsia="en-US"/>
              </w:rPr>
              <w:t xml:space="preserve"> Il faut impérativement veiller au bon respect de la société attribuée à chaque lycéen pour éviter des interdictions par rapport aux droits d’utilisateurs.</w:t>
            </w:r>
          </w:p>
        </w:tc>
      </w:tr>
      <w:tr w:rsidR="00F97C7C" w:rsidRPr="000271E7" w:rsidTr="009F6A26">
        <w:trPr>
          <w:cantSplit/>
          <w:tblCellSpacing w:w="0" w:type="dxa"/>
        </w:trPr>
        <w:tc>
          <w:tcPr>
            <w:tcW w:w="1077" w:type="pct"/>
            <w:vAlign w:val="center"/>
          </w:tcPr>
          <w:p w:rsidR="00F97C7C" w:rsidRDefault="000271E7" w:rsidP="009F6A26">
            <w:pPr>
              <w:spacing w:line="276" w:lineRule="auto"/>
              <w:rPr>
                <w:b/>
                <w:bCs/>
                <w:color w:val="990033"/>
              </w:rPr>
            </w:pPr>
            <w:r>
              <w:rPr>
                <w:b/>
                <w:bCs/>
                <w:color w:val="990033"/>
              </w:rPr>
              <w:t xml:space="preserve">Remarques </w:t>
            </w:r>
          </w:p>
        </w:tc>
        <w:tc>
          <w:tcPr>
            <w:tcW w:w="3923" w:type="pct"/>
          </w:tcPr>
          <w:p w:rsidR="005C2ADE" w:rsidRDefault="00E326FB" w:rsidP="009F6A26">
            <w:pPr>
              <w:rPr>
                <w:lang w:eastAsia="en-US"/>
              </w:rPr>
            </w:pPr>
            <w:r w:rsidRPr="000271E7">
              <w:rPr>
                <w:lang w:eastAsia="en-US"/>
              </w:rPr>
              <w:t>L</w:t>
            </w:r>
            <w:r w:rsidR="005C2ADE">
              <w:rPr>
                <w:lang w:eastAsia="en-US"/>
              </w:rPr>
              <w:t>e cas Vintage a été construit à partir de la base de données du cas BUROMOD.</w:t>
            </w:r>
          </w:p>
          <w:p w:rsidR="00E326FB" w:rsidRPr="008A2717" w:rsidRDefault="005C2ADE" w:rsidP="009F6A26">
            <w:pPr>
              <w:rPr>
                <w:lang w:eastAsia="en-US"/>
              </w:rPr>
            </w:pPr>
            <w:r>
              <w:rPr>
                <w:lang w:eastAsia="en-US"/>
              </w:rPr>
              <w:t>L</w:t>
            </w:r>
            <w:r w:rsidR="00E326FB" w:rsidRPr="000271E7">
              <w:rPr>
                <w:lang w:eastAsia="en-US"/>
              </w:rPr>
              <w:t xml:space="preserve">a </w:t>
            </w:r>
            <w:r w:rsidR="00E326FB" w:rsidRPr="008A2717">
              <w:rPr>
                <w:lang w:eastAsia="en-US"/>
              </w:rPr>
              <w:t xml:space="preserve">base de données VINTAGE est </w:t>
            </w:r>
            <w:r w:rsidR="000271E7" w:rsidRPr="008A2717">
              <w:rPr>
                <w:lang w:eastAsia="en-US"/>
              </w:rPr>
              <w:t>exploitable</w:t>
            </w:r>
            <w:r w:rsidR="00E326FB" w:rsidRPr="008A2717">
              <w:rPr>
                <w:lang w:eastAsia="en-US"/>
              </w:rPr>
              <w:t xml:space="preserve"> pour tous les autres travaux mis à disposition.</w:t>
            </w:r>
          </w:p>
          <w:p w:rsidR="00E326FB" w:rsidRPr="008A2717" w:rsidRDefault="00E326FB" w:rsidP="009F6A26">
            <w:pPr>
              <w:rPr>
                <w:lang w:eastAsia="en-US"/>
              </w:rPr>
            </w:pPr>
            <w:r w:rsidRPr="008A2717">
              <w:rPr>
                <w:lang w:eastAsia="en-US"/>
              </w:rPr>
              <w:t>Chaque société restaurée peut être exploitée par 2 lycéens, en GF, en même temps.</w:t>
            </w:r>
          </w:p>
          <w:p w:rsidR="00E326FB" w:rsidRPr="008A2717" w:rsidRDefault="00E326FB" w:rsidP="009F6A26">
            <w:pPr>
              <w:rPr>
                <w:lang w:eastAsia="en-US"/>
              </w:rPr>
            </w:pPr>
            <w:r w:rsidRPr="008A2717">
              <w:rPr>
                <w:lang w:eastAsia="en-US"/>
              </w:rPr>
              <w:t>Cette même base peut, également</w:t>
            </w:r>
            <w:r w:rsidR="000271E7" w:rsidRPr="008A2717">
              <w:rPr>
                <w:lang w:eastAsia="en-US"/>
              </w:rPr>
              <w:t>,</w:t>
            </w:r>
            <w:r w:rsidRPr="008A2717">
              <w:rPr>
                <w:lang w:eastAsia="en-US"/>
              </w:rPr>
              <w:t xml:space="preserve"> être exploitée en Mercatique.</w:t>
            </w:r>
          </w:p>
          <w:p w:rsidR="000271E7" w:rsidRPr="008A2717" w:rsidRDefault="000271E7" w:rsidP="009F6A26">
            <w:pPr>
              <w:rPr>
                <w:lang w:eastAsia="en-US"/>
              </w:rPr>
            </w:pPr>
            <w:r w:rsidRPr="008A2717">
              <w:rPr>
                <w:lang w:eastAsia="en-US"/>
              </w:rPr>
              <w:t>La période d’analyse porte essentiellement sur octobre et novembre, il est possible d’envisager de poursuivre certains travaux pour le mois de décembre et pourquoi pas utiliser cette base pour effectuer des travaux d’inventaire.</w:t>
            </w:r>
          </w:p>
          <w:p w:rsidR="000271E7" w:rsidRPr="008A2717" w:rsidRDefault="000271E7" w:rsidP="00CF4E9C">
            <w:pPr>
              <w:rPr>
                <w:u w:val="single"/>
                <w:lang w:eastAsia="en-US"/>
              </w:rPr>
            </w:pPr>
            <w:r w:rsidRPr="008A2717">
              <w:rPr>
                <w:u w:val="single"/>
                <w:lang w:eastAsia="en-US"/>
              </w:rPr>
              <w:t>Pour la restauration :</w:t>
            </w:r>
          </w:p>
          <w:p w:rsidR="000271E7" w:rsidRPr="008A2717" w:rsidRDefault="000271E7" w:rsidP="00CF4E9C">
            <w:pPr>
              <w:rPr>
                <w:lang w:eastAsia="en-US"/>
              </w:rPr>
            </w:pPr>
            <w:r w:rsidRPr="008A2717">
              <w:rPr>
                <w:lang w:eastAsia="en-US"/>
              </w:rPr>
              <w:t>Il est possible de restaurer par le biais de chaque compte élève pour qu’ils puissent accéder directement à la société attribuée</w:t>
            </w:r>
          </w:p>
          <w:p w:rsidR="000271E7" w:rsidRPr="008A2717" w:rsidRDefault="000271E7" w:rsidP="00CF4E9C">
            <w:pPr>
              <w:rPr>
                <w:lang w:eastAsia="en-US"/>
              </w:rPr>
            </w:pPr>
            <w:r w:rsidRPr="008A2717">
              <w:rPr>
                <w:lang w:eastAsia="en-US"/>
              </w:rPr>
              <w:t>OU</w:t>
            </w:r>
          </w:p>
          <w:p w:rsidR="00CF4E9C" w:rsidRPr="000271E7" w:rsidRDefault="000271E7" w:rsidP="00CF4E9C">
            <w:pPr>
              <w:rPr>
                <w:lang w:eastAsia="en-US"/>
              </w:rPr>
            </w:pPr>
            <w:r w:rsidRPr="008A2717">
              <w:rPr>
                <w:lang w:eastAsia="en-US"/>
              </w:rPr>
              <w:t>Il est possible de restaurer chaque société (en fonction du nombre de lycéens) sur une même session élève (PGI)</w:t>
            </w:r>
            <w:r w:rsidR="008A2717" w:rsidRPr="008A2717">
              <w:rPr>
                <w:lang w:eastAsia="en-US"/>
              </w:rPr>
              <w:t xml:space="preserve"> afin que chaque élève sélectionne la société correspondante</w:t>
            </w:r>
            <w:r w:rsidR="00CF4E9C" w:rsidRPr="008A2717">
              <w:rPr>
                <w:lang w:eastAsia="en-US"/>
              </w:rPr>
              <w:t>.</w:t>
            </w:r>
          </w:p>
        </w:tc>
      </w:tr>
      <w:tr w:rsidR="008A2717" w:rsidRPr="00256F9E" w:rsidTr="008A2717">
        <w:trPr>
          <w:cantSplit/>
          <w:tblCellSpacing w:w="0" w:type="dxa"/>
        </w:trPr>
        <w:tc>
          <w:tcPr>
            <w:tcW w:w="1077" w:type="pct"/>
            <w:tcBorders>
              <w:top w:val="single" w:sz="6" w:space="0" w:color="000080"/>
              <w:left w:val="single" w:sz="6" w:space="0" w:color="000080"/>
              <w:bottom w:val="single" w:sz="6" w:space="0" w:color="000080"/>
              <w:right w:val="single" w:sz="6" w:space="0" w:color="000080"/>
            </w:tcBorders>
            <w:vAlign w:val="center"/>
          </w:tcPr>
          <w:p w:rsidR="008A2717" w:rsidRDefault="008A2717" w:rsidP="00D15B1F">
            <w:pPr>
              <w:spacing w:line="276" w:lineRule="auto"/>
              <w:rPr>
                <w:b/>
                <w:bCs/>
                <w:color w:val="990033"/>
              </w:rPr>
            </w:pPr>
            <w:r>
              <w:rPr>
                <w:b/>
                <w:bCs/>
                <w:color w:val="990033"/>
              </w:rPr>
              <w:t>Auteur</w:t>
            </w:r>
          </w:p>
        </w:tc>
        <w:tc>
          <w:tcPr>
            <w:tcW w:w="3923" w:type="pct"/>
            <w:tcBorders>
              <w:top w:val="single" w:sz="6" w:space="0" w:color="000080"/>
              <w:left w:val="single" w:sz="6" w:space="0" w:color="000080"/>
              <w:bottom w:val="single" w:sz="6" w:space="0" w:color="000080"/>
              <w:right w:val="single" w:sz="6" w:space="0" w:color="000080"/>
            </w:tcBorders>
          </w:tcPr>
          <w:p w:rsidR="008A2717" w:rsidRPr="00224E5C" w:rsidRDefault="008A2717" w:rsidP="00D15B1F">
            <w:pPr>
              <w:rPr>
                <w:lang w:eastAsia="en-US"/>
              </w:rPr>
            </w:pPr>
            <w:r>
              <w:rPr>
                <w:lang w:eastAsia="en-US"/>
              </w:rPr>
              <w:t xml:space="preserve">Joan </w:t>
            </w:r>
            <w:proofErr w:type="spellStart"/>
            <w:r>
              <w:rPr>
                <w:lang w:eastAsia="en-US"/>
              </w:rPr>
              <w:t>Grard</w:t>
            </w:r>
            <w:proofErr w:type="spellEnd"/>
          </w:p>
        </w:tc>
      </w:tr>
      <w:tr w:rsidR="008A2717" w:rsidRPr="00256F9E" w:rsidTr="008A2717">
        <w:trPr>
          <w:cantSplit/>
          <w:tblCellSpacing w:w="0" w:type="dxa"/>
        </w:trPr>
        <w:tc>
          <w:tcPr>
            <w:tcW w:w="1077" w:type="pct"/>
            <w:tcBorders>
              <w:top w:val="single" w:sz="6" w:space="0" w:color="000080"/>
              <w:left w:val="single" w:sz="6" w:space="0" w:color="000080"/>
              <w:bottom w:val="single" w:sz="6" w:space="0" w:color="000080"/>
              <w:right w:val="single" w:sz="6" w:space="0" w:color="000080"/>
            </w:tcBorders>
            <w:vAlign w:val="center"/>
          </w:tcPr>
          <w:p w:rsidR="008A2717" w:rsidRDefault="008A2717" w:rsidP="00D15B1F">
            <w:pPr>
              <w:spacing w:line="276" w:lineRule="auto"/>
              <w:rPr>
                <w:b/>
                <w:bCs/>
                <w:color w:val="990033"/>
              </w:rPr>
            </w:pPr>
            <w:r>
              <w:rPr>
                <w:b/>
                <w:bCs/>
                <w:color w:val="990033"/>
              </w:rPr>
              <w:t>Version</w:t>
            </w:r>
          </w:p>
        </w:tc>
        <w:tc>
          <w:tcPr>
            <w:tcW w:w="3923" w:type="pct"/>
            <w:tcBorders>
              <w:top w:val="single" w:sz="6" w:space="0" w:color="000080"/>
              <w:left w:val="single" w:sz="6" w:space="0" w:color="000080"/>
              <w:bottom w:val="single" w:sz="6" w:space="0" w:color="000080"/>
              <w:right w:val="single" w:sz="6" w:space="0" w:color="000080"/>
            </w:tcBorders>
          </w:tcPr>
          <w:p w:rsidR="008A2717" w:rsidRPr="008A2717" w:rsidRDefault="008A2717" w:rsidP="00D15B1F">
            <w:pPr>
              <w:rPr>
                <w:lang w:eastAsia="en-US"/>
              </w:rPr>
            </w:pPr>
            <w:r w:rsidRPr="008A2717">
              <w:rPr>
                <w:lang w:eastAsia="en-US"/>
              </w:rPr>
              <w:t>1.0</w:t>
            </w:r>
          </w:p>
        </w:tc>
      </w:tr>
      <w:tr w:rsidR="008A2717" w:rsidRPr="00256F9E" w:rsidTr="00670FE6">
        <w:trPr>
          <w:cantSplit/>
          <w:trHeight w:val="462"/>
          <w:tblCellSpacing w:w="0" w:type="dxa"/>
        </w:trPr>
        <w:tc>
          <w:tcPr>
            <w:tcW w:w="1077" w:type="pct"/>
            <w:tcBorders>
              <w:top w:val="single" w:sz="6" w:space="0" w:color="000080"/>
              <w:left w:val="single" w:sz="6" w:space="0" w:color="000080"/>
              <w:bottom w:val="single" w:sz="6" w:space="0" w:color="000080"/>
              <w:right w:val="single" w:sz="6" w:space="0" w:color="000080"/>
            </w:tcBorders>
            <w:vAlign w:val="center"/>
          </w:tcPr>
          <w:p w:rsidR="008A2717" w:rsidRDefault="008A2717" w:rsidP="00D15B1F">
            <w:pPr>
              <w:spacing w:line="276" w:lineRule="auto"/>
              <w:rPr>
                <w:b/>
                <w:bCs/>
                <w:color w:val="990033"/>
              </w:rPr>
            </w:pPr>
            <w:r>
              <w:rPr>
                <w:b/>
                <w:bCs/>
                <w:color w:val="990033"/>
              </w:rPr>
              <w:t>Date de publication</w:t>
            </w:r>
          </w:p>
        </w:tc>
        <w:tc>
          <w:tcPr>
            <w:tcW w:w="3923" w:type="pct"/>
            <w:tcBorders>
              <w:top w:val="single" w:sz="6" w:space="0" w:color="000080"/>
              <w:left w:val="single" w:sz="6" w:space="0" w:color="000080"/>
              <w:bottom w:val="single" w:sz="6" w:space="0" w:color="000080"/>
              <w:right w:val="single" w:sz="6" w:space="0" w:color="000080"/>
            </w:tcBorders>
          </w:tcPr>
          <w:p w:rsidR="008A2717" w:rsidRPr="008A2717" w:rsidRDefault="008A2717" w:rsidP="008A2717">
            <w:pPr>
              <w:rPr>
                <w:lang w:eastAsia="en-US"/>
              </w:rPr>
            </w:pPr>
            <w:r w:rsidRPr="008A2717">
              <w:rPr>
                <w:lang w:eastAsia="en-US"/>
              </w:rPr>
              <w:t>29/</w:t>
            </w:r>
            <w:r>
              <w:rPr>
                <w:lang w:eastAsia="en-US"/>
              </w:rPr>
              <w:t>04</w:t>
            </w:r>
            <w:r w:rsidRPr="008A2717">
              <w:rPr>
                <w:lang w:eastAsia="en-US"/>
              </w:rPr>
              <w:t>/201</w:t>
            </w:r>
            <w:r>
              <w:rPr>
                <w:lang w:eastAsia="en-US"/>
              </w:rPr>
              <w:t>3</w:t>
            </w:r>
          </w:p>
        </w:tc>
      </w:tr>
    </w:tbl>
    <w:p w:rsidR="000F36BF" w:rsidRDefault="000F36BF"/>
    <w:sectPr w:rsidR="000F36BF" w:rsidSect="000F36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1C" w:rsidRDefault="0046481C" w:rsidP="0046481C">
      <w:r>
        <w:separator/>
      </w:r>
    </w:p>
  </w:endnote>
  <w:endnote w:type="continuationSeparator" w:id="0">
    <w:p w:rsidR="0046481C" w:rsidRDefault="0046481C" w:rsidP="0046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1C" w:rsidRPr="0046481C" w:rsidRDefault="0046481C" w:rsidP="0046481C">
    <w:pPr>
      <w:pStyle w:val="Pieddepage"/>
      <w:pBdr>
        <w:top w:val="thinThickSmallGap" w:sz="24" w:space="1" w:color="622423" w:themeColor="accent2" w:themeShade="7F"/>
      </w:pBdr>
      <w:tabs>
        <w:tab w:val="left" w:pos="6096"/>
      </w:tabs>
      <w:rPr>
        <w:rFonts w:asciiTheme="majorHAnsi" w:hAnsiTheme="majorHAnsi"/>
      </w:rPr>
    </w:pPr>
    <w:r>
      <w:rPr>
        <w:rFonts w:asciiTheme="majorHAnsi" w:hAnsiTheme="majorHAnsi"/>
      </w:rPr>
      <w:t xml:space="preserve">PGI EBP – Cas </w:t>
    </w:r>
    <w:r w:rsidR="000271E7">
      <w:rPr>
        <w:rFonts w:asciiTheme="majorHAnsi" w:hAnsiTheme="majorHAnsi"/>
      </w:rPr>
      <w:t>Vintage – Q0</w:t>
    </w:r>
    <w:r w:rsidR="00670FE6">
      <w:rPr>
        <w:rFonts w:asciiTheme="majorHAnsi" w:hAnsiTheme="majorHAnsi"/>
      </w:rPr>
      <w:t>2</w:t>
    </w:r>
    <w:r>
      <w:rPr>
        <w:rFonts w:asciiTheme="majorHAnsi" w:hAnsiTheme="majorHAnsi"/>
      </w:rPr>
      <w:t xml:space="preserve"> – Joan </w:t>
    </w:r>
    <w:proofErr w:type="spellStart"/>
    <w:r>
      <w:rPr>
        <w:rFonts w:asciiTheme="majorHAnsi" w:hAnsiTheme="majorHAnsi"/>
      </w:rPr>
      <w:t>Grard</w:t>
    </w:r>
    <w:proofErr w:type="spellEnd"/>
    <w:r>
      <w:rPr>
        <w:rFonts w:asciiTheme="majorHAnsi" w:hAnsiTheme="majorHAnsi"/>
      </w:rPr>
      <w:t xml:space="preserve"> – Académie de Montpellier</w:t>
    </w:r>
    <w:r>
      <w:rPr>
        <w:rFonts w:asciiTheme="majorHAnsi" w:hAnsiTheme="majorHAnsi"/>
      </w:rPr>
      <w:tab/>
    </w:r>
    <w:r w:rsidR="000067DE">
      <w:rPr>
        <w:rFonts w:asciiTheme="majorHAnsi" w:hAnsiTheme="majorHAnsi"/>
      </w:rPr>
      <w:tab/>
    </w:r>
    <w:r>
      <w:rPr>
        <w:rFonts w:asciiTheme="majorHAnsi" w:hAnsiTheme="majorHAnsi"/>
      </w:rPr>
      <w:t>STMG 201</w:t>
    </w:r>
    <w:r w:rsidR="000271E7">
      <w:rPr>
        <w:rFonts w:asciiTheme="majorHAnsi" w:hAnsiTheme="majorHAnsi"/>
      </w:rPr>
      <w:t>3</w:t>
    </w:r>
    <w:r>
      <w:rPr>
        <w:rFonts w:asciiTheme="majorHAnsi" w:hAnsiTheme="maj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1C" w:rsidRDefault="0046481C" w:rsidP="0046481C">
      <w:r>
        <w:separator/>
      </w:r>
    </w:p>
  </w:footnote>
  <w:footnote w:type="continuationSeparator" w:id="0">
    <w:p w:rsidR="0046481C" w:rsidRDefault="0046481C" w:rsidP="00464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1C" w:rsidRDefault="000067DE">
    <w:pPr>
      <w:pStyle w:val="En-tte"/>
    </w:pPr>
    <w:r w:rsidRPr="000067DE">
      <w:rPr>
        <w:noProof/>
      </w:rPr>
      <w:drawing>
        <wp:anchor distT="0" distB="0" distL="114300" distR="114300" simplePos="0" relativeHeight="251661312" behindDoc="0" locked="0" layoutInCell="1" allowOverlap="1">
          <wp:simplePos x="0" y="0"/>
          <wp:positionH relativeFrom="column">
            <wp:posOffset>-823595</wp:posOffset>
          </wp:positionH>
          <wp:positionV relativeFrom="paragraph">
            <wp:posOffset>-201930</wp:posOffset>
          </wp:positionV>
          <wp:extent cx="781050" cy="685800"/>
          <wp:effectExtent l="19050" t="0" r="0" b="0"/>
          <wp:wrapNone/>
          <wp:docPr id="2" name="Image 2" descr="logo_EG_100.png"/>
          <wp:cNvGraphicFramePr/>
          <a:graphic xmlns:a="http://schemas.openxmlformats.org/drawingml/2006/main">
            <a:graphicData uri="http://schemas.openxmlformats.org/drawingml/2006/picture">
              <pic:pic xmlns:pic="http://schemas.openxmlformats.org/drawingml/2006/picture">
                <pic:nvPicPr>
                  <pic:cNvPr id="3080" name="Image 11" descr="logo_EG_100.png"/>
                  <pic:cNvPicPr>
                    <a:picLocks noChangeAspect="1"/>
                  </pic:cNvPicPr>
                </pic:nvPicPr>
                <pic:blipFill>
                  <a:blip r:embed="rId1" cstate="print"/>
                  <a:srcRect/>
                  <a:stretch>
                    <a:fillRect/>
                  </a:stretch>
                </pic:blipFill>
                <pic:spPr bwMode="auto">
                  <a:xfrm>
                    <a:off x="0" y="0"/>
                    <a:ext cx="781050" cy="685800"/>
                  </a:xfrm>
                  <a:prstGeom prst="rect">
                    <a:avLst/>
                  </a:prstGeom>
                  <a:noFill/>
                  <a:ln w="9525">
                    <a:noFill/>
                    <a:miter lim="800000"/>
                    <a:headEnd/>
                    <a:tailEnd/>
                  </a:ln>
                </pic:spPr>
              </pic:pic>
            </a:graphicData>
          </a:graphic>
        </wp:anchor>
      </w:drawing>
    </w:r>
    <w:r w:rsidRPr="000067DE">
      <w:rPr>
        <w:noProof/>
      </w:rPr>
      <w:drawing>
        <wp:anchor distT="0" distB="0" distL="114300" distR="114300" simplePos="0" relativeHeight="251659264" behindDoc="0" locked="0" layoutInCell="1" allowOverlap="1">
          <wp:simplePos x="0" y="0"/>
          <wp:positionH relativeFrom="column">
            <wp:posOffset>-709295</wp:posOffset>
          </wp:positionH>
          <wp:positionV relativeFrom="paragraph">
            <wp:posOffset>-344805</wp:posOffset>
          </wp:positionV>
          <wp:extent cx="6800850" cy="914400"/>
          <wp:effectExtent l="19050" t="0" r="0" b="0"/>
          <wp:wrapNone/>
          <wp:docPr id="1" name="Image 1" descr="flamme_mtpl.png"/>
          <wp:cNvGraphicFramePr/>
          <a:graphic xmlns:a="http://schemas.openxmlformats.org/drawingml/2006/main">
            <a:graphicData uri="http://schemas.openxmlformats.org/drawingml/2006/picture">
              <pic:pic xmlns:pic="http://schemas.openxmlformats.org/drawingml/2006/picture">
                <pic:nvPicPr>
                  <pic:cNvPr id="3079" name="Image 9" descr="flamme_mtpl.png"/>
                  <pic:cNvPicPr>
                    <a:picLocks noChangeAspect="1"/>
                  </pic:cNvPicPr>
                </pic:nvPicPr>
                <pic:blipFill>
                  <a:blip r:embed="rId2" cstate="print"/>
                  <a:srcRect/>
                  <a:stretch>
                    <a:fillRect/>
                  </a:stretch>
                </pic:blipFill>
                <pic:spPr bwMode="auto">
                  <a:xfrm>
                    <a:off x="0" y="0"/>
                    <a:ext cx="6800850"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D542F"/>
    <w:multiLevelType w:val="hybridMultilevel"/>
    <w:tmpl w:val="849A93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CB25D7"/>
    <w:multiLevelType w:val="hybridMultilevel"/>
    <w:tmpl w:val="C0E494B8"/>
    <w:lvl w:ilvl="0" w:tplc="9A9A8F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9B2105"/>
    <w:multiLevelType w:val="hybridMultilevel"/>
    <w:tmpl w:val="0AAE34A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61D61A9A"/>
    <w:multiLevelType w:val="hybridMultilevel"/>
    <w:tmpl w:val="34E007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C67E6B"/>
    <w:multiLevelType w:val="hybridMultilevel"/>
    <w:tmpl w:val="895C30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175B"/>
    <w:rsid w:val="000067DE"/>
    <w:rsid w:val="000271E7"/>
    <w:rsid w:val="000607D1"/>
    <w:rsid w:val="000F36BF"/>
    <w:rsid w:val="00142943"/>
    <w:rsid w:val="00160702"/>
    <w:rsid w:val="001673D4"/>
    <w:rsid w:val="001B3AD1"/>
    <w:rsid w:val="003D5604"/>
    <w:rsid w:val="003E0599"/>
    <w:rsid w:val="0046481C"/>
    <w:rsid w:val="005C0F85"/>
    <w:rsid w:val="005C2ADE"/>
    <w:rsid w:val="005C6A86"/>
    <w:rsid w:val="0060175B"/>
    <w:rsid w:val="00635EBE"/>
    <w:rsid w:val="00670FE6"/>
    <w:rsid w:val="00693014"/>
    <w:rsid w:val="008068EE"/>
    <w:rsid w:val="008A2717"/>
    <w:rsid w:val="008A7CEA"/>
    <w:rsid w:val="0091075B"/>
    <w:rsid w:val="00982DFC"/>
    <w:rsid w:val="00B63DF5"/>
    <w:rsid w:val="00BF0341"/>
    <w:rsid w:val="00C76F4D"/>
    <w:rsid w:val="00CF4E9C"/>
    <w:rsid w:val="00D20FE3"/>
    <w:rsid w:val="00D50EAD"/>
    <w:rsid w:val="00DA591F"/>
    <w:rsid w:val="00E326FB"/>
    <w:rsid w:val="00F97C7C"/>
    <w:rsid w:val="00FE1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5B"/>
    <w:pPr>
      <w:spacing w:after="0" w:line="240" w:lineRule="auto"/>
    </w:pPr>
    <w:rPr>
      <w:rFonts w:ascii="Arial" w:eastAsia="Times New Roman" w:hAnsi="Arial" w:cs="Arial"/>
      <w:color w:val="00008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481C"/>
    <w:pPr>
      <w:ind w:left="720"/>
      <w:contextualSpacing/>
    </w:pPr>
  </w:style>
  <w:style w:type="paragraph" w:styleId="En-tte">
    <w:name w:val="header"/>
    <w:basedOn w:val="Normal"/>
    <w:link w:val="En-tteCar"/>
    <w:uiPriority w:val="99"/>
    <w:semiHidden/>
    <w:unhideWhenUsed/>
    <w:rsid w:val="0046481C"/>
    <w:pPr>
      <w:tabs>
        <w:tab w:val="center" w:pos="4536"/>
        <w:tab w:val="right" w:pos="9072"/>
      </w:tabs>
    </w:pPr>
  </w:style>
  <w:style w:type="character" w:customStyle="1" w:styleId="En-tteCar">
    <w:name w:val="En-tête Car"/>
    <w:basedOn w:val="Policepardfaut"/>
    <w:link w:val="En-tte"/>
    <w:uiPriority w:val="99"/>
    <w:semiHidden/>
    <w:rsid w:val="0046481C"/>
    <w:rPr>
      <w:rFonts w:ascii="Arial" w:eastAsia="Times New Roman" w:hAnsi="Arial" w:cs="Arial"/>
      <w:color w:val="000080"/>
      <w:sz w:val="20"/>
      <w:szCs w:val="20"/>
      <w:lang w:eastAsia="fr-FR"/>
    </w:rPr>
  </w:style>
  <w:style w:type="paragraph" w:styleId="Pieddepage">
    <w:name w:val="footer"/>
    <w:basedOn w:val="Normal"/>
    <w:link w:val="PieddepageCar"/>
    <w:uiPriority w:val="99"/>
    <w:semiHidden/>
    <w:unhideWhenUsed/>
    <w:rsid w:val="0046481C"/>
    <w:pPr>
      <w:tabs>
        <w:tab w:val="center" w:pos="4536"/>
        <w:tab w:val="right" w:pos="9072"/>
      </w:tabs>
    </w:pPr>
  </w:style>
  <w:style w:type="character" w:customStyle="1" w:styleId="PieddepageCar">
    <w:name w:val="Pied de page Car"/>
    <w:basedOn w:val="Policepardfaut"/>
    <w:link w:val="Pieddepage"/>
    <w:uiPriority w:val="99"/>
    <w:semiHidden/>
    <w:rsid w:val="0046481C"/>
    <w:rPr>
      <w:rFonts w:ascii="Arial" w:eastAsia="Times New Roman" w:hAnsi="Arial" w:cs="Arial"/>
      <w:color w:val="00008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D7D7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747</Words>
  <Characters>4110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Support PGI - Q02</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PGI - Q02</dc:title>
  <dc:subject>Support de formation</dc:subject>
  <dc:creator>joan</dc:creator>
  <cp:keywords>PGI; GF</cp:keywords>
  <cp:lastModifiedBy>Eleve Prévert</cp:lastModifiedBy>
  <cp:revision>14</cp:revision>
  <dcterms:created xsi:type="dcterms:W3CDTF">2012-11-26T18:31:00Z</dcterms:created>
  <dcterms:modified xsi:type="dcterms:W3CDTF">2013-05-06T09:53:00Z</dcterms:modified>
</cp:coreProperties>
</file>