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EA" w:rsidRPr="004C0C8D" w:rsidRDefault="00D12EEA" w:rsidP="00D1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bCs/>
          <w:sz w:val="28"/>
          <w:szCs w:val="28"/>
          <w:lang w:eastAsia="fr-FR"/>
        </w:rPr>
      </w:pPr>
      <w:bookmarkStart w:id="0" w:name="_GoBack"/>
      <w:bookmarkEnd w:id="0"/>
      <w:r w:rsidRPr="004C0C8D">
        <w:rPr>
          <w:rFonts w:cs="Calibri"/>
          <w:b/>
          <w:bCs/>
          <w:sz w:val="28"/>
          <w:szCs w:val="28"/>
          <w:lang w:eastAsia="fr-FR"/>
        </w:rPr>
        <w:t>FICHE PÉDAGOGIQUE DE LA SÉQUENCE</w:t>
      </w:r>
    </w:p>
    <w:p w:rsidR="00D12EEA" w:rsidRDefault="00D12EEA" w:rsidP="00D12EEA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Layout w:type="fixed"/>
        <w:tblLook w:val="0000"/>
      </w:tblPr>
      <w:tblGrid>
        <w:gridCol w:w="1541"/>
        <w:gridCol w:w="7746"/>
      </w:tblGrid>
      <w:tr w:rsidR="00D12EEA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Intitulé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24126">
              <w:rPr>
                <w:rFonts w:cs="Calibri"/>
                <w:b/>
                <w:bCs/>
                <w:sz w:val="28"/>
                <w:szCs w:val="20"/>
              </w:rPr>
              <w:t xml:space="preserve">Projet </w:t>
            </w:r>
            <w:proofErr w:type="spellStart"/>
            <w:r w:rsidRPr="00924126">
              <w:rPr>
                <w:rFonts w:cs="Calibri"/>
                <w:b/>
                <w:bCs/>
                <w:sz w:val="28"/>
                <w:szCs w:val="20"/>
              </w:rPr>
              <w:t>Chaffoteaux</w:t>
            </w:r>
            <w:proofErr w:type="spellEnd"/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Public concerné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Terminale STMG – Gestion et Finance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Gestion - Finance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Positionnement dans le programme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Projet en Terminale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Notions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pStyle w:val="Corpsdetexte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de GF et de sciences de gestion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Contexte et finalités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 w:rsidP="00924126">
            <w:pPr>
              <w:pStyle w:val="Corpsdetexte2"/>
              <w:tabs>
                <w:tab w:val="left" w:pos="342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Pour son premier exercice d’exploitation, la société a dégagé un bénéfice </w:t>
            </w:r>
            <w:r>
              <w:rPr>
                <w:bCs/>
              </w:rPr>
              <w:br/>
              <w:t>et les ventes mensuelles se situent à une vingtaine de chaudières. Monsieur Muselier considère ce début d’exploitation comme très encourageant. Cependant, il regrette que certains clients ne payent pas dans les délais.</w:t>
            </w:r>
            <w:r>
              <w:rPr>
                <w:bCs/>
              </w:rPr>
              <w:br/>
              <w:t xml:space="preserve">Face à de nombreux impayés, Monsieur Muselier voudrait assurer un meilleur suivi </w:t>
            </w:r>
            <w:r>
              <w:rPr>
                <w:bCs/>
              </w:rPr>
              <w:br/>
              <w:t>des créances.</w:t>
            </w:r>
          </w:p>
          <w:p w:rsidR="00D12EEA" w:rsidRDefault="00924126" w:rsidP="00924126">
            <w:pPr>
              <w:pStyle w:val="Corpsdetexte2"/>
              <w:tabs>
                <w:tab w:val="left" w:pos="3420"/>
              </w:tabs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bCs/>
              </w:rPr>
              <w:t>Vous devez évaluer ces diverses propositions afin de faciliter un respect des délais de paiement de la part des clients et pourquoi ne pas envisager le recours à un organisme extérieur pour les mauvais payeurs.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Pré-requis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</w:pPr>
            <w:r>
              <w:t>Les notions de dette et de créance</w:t>
            </w:r>
            <w:r>
              <w:br/>
              <w:t>Le lettrage des comptes</w:t>
            </w:r>
            <w:r>
              <w:br/>
              <w:t>La maîtrise d’un tableur (pour implanter des formules – simples - de calcul</w:t>
            </w:r>
            <w:proofErr w:type="gramStart"/>
            <w:r>
              <w:t>)</w:t>
            </w:r>
            <w:proofErr w:type="gramEnd"/>
            <w:r>
              <w:br/>
              <w:t>Les travaux d’inventaire (Principe de prudence – Dépréciation des créances)</w:t>
            </w:r>
            <w:r>
              <w:br/>
              <w:t>Les amortissements (Mode linéaire)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Objectif pédagogique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t xml:space="preserve"> </w:t>
            </w:r>
            <w:r w:rsidRPr="00A3519D">
              <w:t>Mesurer l’utilité du suivi des créances clients</w:t>
            </w:r>
            <w:r>
              <w:br/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 w:rsidRPr="00525CEE">
              <w:t>Effectuer le lettrage des comptes clients (</w:t>
            </w:r>
            <w:r>
              <w:t>Artisans</w:t>
            </w:r>
            <w:r w:rsidRPr="00525CEE">
              <w:t xml:space="preserve"> et </w:t>
            </w:r>
            <w:r>
              <w:t>Sociétés</w:t>
            </w:r>
            <w:r w:rsidRPr="00525CEE">
              <w:t>)</w:t>
            </w:r>
            <w:r>
              <w:t xml:space="preserve"> par le biais du PIG</w:t>
            </w:r>
            <w:r>
              <w:br/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t xml:space="preserve"> Analyser les procédures à suivre en cas de non-recouvrement</w:t>
            </w:r>
            <w:r>
              <w:br/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>
              <w:t>Calculer et comptabiliser les dépréciations des créances douteuses</w:t>
            </w:r>
            <w:r>
              <w:br/>
              <w:t xml:space="preserve"> </w:t>
            </w:r>
            <w:r>
              <w:rPr>
                <w:rFonts w:ascii="Symbol" w:hAnsi="Symbol"/>
              </w:rPr>
              <w:t></w:t>
            </w:r>
            <w:r>
              <w:t xml:space="preserve"> Faire ou faire-faire le suivi du poste clients (externalisation)</w:t>
            </w:r>
            <w:r>
              <w:br/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 w:rsidRPr="00525CEE">
              <w:t>Réaliser l'amortissement du réseau informatique (Fiche immobilisation et plan d'amortissem</w:t>
            </w:r>
            <w:r>
              <w:t>ent en mode linéaire par le biais du PGI)</w:t>
            </w:r>
            <w:r>
              <w:br/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 w:rsidRPr="00525CEE">
              <w:t>Choisir  le mode d'amortissement approprié (mode linéaire ou mode non linéaire)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924126" w:rsidRDefault="00924126" w:rsidP="00924126">
            <w:pPr>
              <w:spacing w:after="0" w:line="240" w:lineRule="auto"/>
              <w:ind w:left="-66"/>
              <w:rPr>
                <w:rFonts w:cs="Calibri"/>
                <w:color w:val="000000"/>
                <w:sz w:val="20"/>
                <w:szCs w:val="20"/>
              </w:rPr>
            </w:pPr>
            <w:r w:rsidRPr="00924126">
              <w:rPr>
                <w:bCs/>
              </w:rPr>
              <w:t>Le suivi des créances clients et leurs dépréciations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Mots clés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4126">
              <w:t>Projet Terminale Gestion Finance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Supports exploités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707155">
            <w:pPr>
              <w:tabs>
                <w:tab w:val="center" w:pos="4819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>
              <w:t xml:space="preserve">Sujet_doc2014.doc pour situer l’activité </w:t>
            </w:r>
            <w:r>
              <w:br/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</w:t>
            </w:r>
            <w:r>
              <w:rPr>
                <w:rFonts w:ascii="Symbol" w:hAnsi="Symbol"/>
              </w:rPr>
              <w:t></w:t>
            </w:r>
            <w:r w:rsidRPr="00FA5811">
              <w:t>P</w:t>
            </w:r>
            <w:r>
              <w:t>our les fichi</w:t>
            </w:r>
            <w:r w:rsidR="00707155">
              <w:t xml:space="preserve">ers EBP : (version EBP 4.0, 5.0, </w:t>
            </w:r>
            <w:r>
              <w:t>5.1.xxx</w:t>
            </w:r>
            <w:r w:rsidR="00707155">
              <w:t>, 6.0 et 6.1</w:t>
            </w:r>
            <w:r>
              <w:t>)</w:t>
            </w:r>
            <w:r>
              <w:tab/>
            </w:r>
            <w:r>
              <w:br/>
              <w:t xml:space="preserve">Fichier élève </w:t>
            </w:r>
            <w:r>
              <w:sym w:font="Wingdings" w:char="F0E8"/>
            </w:r>
            <w:r>
              <w:t xml:space="preserve"> Créances_douteuses.xls (en fonction de l’objectif de l’enseignant</w:t>
            </w:r>
            <w:proofErr w:type="gramStart"/>
            <w:r>
              <w:t>)</w:t>
            </w:r>
            <w:proofErr w:type="gramEnd"/>
            <w:r>
              <w:br/>
              <w:t xml:space="preserve">Fichier prof </w:t>
            </w:r>
            <w:r>
              <w:sym w:font="Wingdings" w:char="F0E8"/>
            </w:r>
            <w:r>
              <w:t xml:space="preserve"> Grille de répartition_2014.doc</w:t>
            </w:r>
            <w:r>
              <w:br/>
            </w:r>
            <w:r>
              <w:tab/>
              <w:t>Fichier de sauvegarde EBP (</w:t>
            </w:r>
            <w:r>
              <w:rPr>
                <w:sz w:val="16"/>
              </w:rPr>
              <w:t>à restaur</w:t>
            </w:r>
            <w:r w:rsidRPr="0001467C">
              <w:rPr>
                <w:sz w:val="16"/>
              </w:rPr>
              <w:t>er en fonction de la version disponible dans l’établissement</w:t>
            </w:r>
            <w:r>
              <w:t>)</w:t>
            </w:r>
          </w:p>
        </w:tc>
      </w:tr>
      <w:tr w:rsidR="00D12EEA" w:rsidRPr="00924126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Type de ressource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924126" w:rsidRDefault="00924126" w:rsidP="009241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24126">
              <w:rPr>
                <w:rFonts w:cs="Calibri"/>
                <w:color w:val="000000"/>
                <w:sz w:val="20"/>
                <w:szCs w:val="20"/>
                <w:lang w:val="en-US"/>
              </w:rPr>
              <w:t>Projet</w:t>
            </w:r>
            <w:proofErr w:type="spellEnd"/>
            <w:r w:rsidRPr="00924126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4126">
              <w:rPr>
                <w:rFonts w:cs="Calibri"/>
                <w:color w:val="000000"/>
                <w:sz w:val="20"/>
                <w:szCs w:val="20"/>
                <w:lang w:val="en-US"/>
              </w:rPr>
              <w:t>Terminale</w:t>
            </w:r>
            <w:proofErr w:type="spellEnd"/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Durée de la séquence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t>Plusieurs séances sont nécessaires avec une phase de mise en commun intermédiaire indispensable pour la suite des travaux.</w:t>
            </w:r>
            <w:r>
              <w:br/>
              <w:t>La remise d’une synthèse écrite pour l’examen est indispensable afin de répondre à la problématique de l’organisation.</w:t>
            </w:r>
          </w:p>
        </w:tc>
      </w:tr>
      <w:tr w:rsidR="00D12EEA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D12EE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Organisation de la classe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Default="00924126" w:rsidP="009241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t>Projet – Groupe de 3 élèves</w:t>
            </w:r>
          </w:p>
        </w:tc>
      </w:tr>
      <w:tr w:rsidR="00924126" w:rsidRPr="00707155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Usages numériques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Pr="00924126" w:rsidRDefault="00924126" w:rsidP="001F4CA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en-US"/>
              </w:rPr>
            </w:pPr>
            <w:r w:rsidRPr="00924126">
              <w:rPr>
                <w:lang w:val="en-US"/>
              </w:rPr>
              <w:t>PIG (EBP), Excel et Word</w:t>
            </w:r>
          </w:p>
        </w:tc>
      </w:tr>
      <w:tr w:rsidR="00924126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Transversalités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 w:rsidP="00924126">
            <w:pPr>
              <w:spacing w:after="0" w:line="240" w:lineRule="auto"/>
            </w:pPr>
            <w:r>
              <w:t>Science de gestion – Economie-Droit - Management</w:t>
            </w:r>
          </w:p>
        </w:tc>
      </w:tr>
      <w:tr w:rsidR="00924126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Auteurs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 w:rsidP="00924126">
            <w:pPr>
              <w:spacing w:after="0" w:line="240" w:lineRule="auto"/>
            </w:pPr>
            <w:r>
              <w:t>Joan GRARD</w:t>
            </w:r>
          </w:p>
        </w:tc>
      </w:tr>
      <w:tr w:rsidR="00924126" w:rsidTr="00924126">
        <w:trPr>
          <w:trHeight w:val="732"/>
        </w:trPr>
        <w:tc>
          <w:tcPr>
            <w:tcW w:w="15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Remarques</w:t>
            </w:r>
          </w:p>
        </w:tc>
        <w:tc>
          <w:tcPr>
            <w:tcW w:w="7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924126" w:rsidRDefault="00924126" w:rsidP="009241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 adapté à partir d’un projet réalisé dans l’académie de Lille (dans le cadre de journées de formation CFE) concrétisé à l’époque par :</w:t>
            </w:r>
          </w:p>
          <w:p w:rsidR="00924126" w:rsidRDefault="00924126" w:rsidP="0092412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Talleu</w:t>
            </w:r>
            <w:proofErr w:type="spellEnd"/>
            <w:r>
              <w:rPr>
                <w:sz w:val="18"/>
                <w:szCs w:val="18"/>
              </w:rPr>
              <w:t xml:space="preserve"> Colette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- </w:t>
            </w:r>
            <w:proofErr w:type="spellStart"/>
            <w:r>
              <w:rPr>
                <w:sz w:val="18"/>
                <w:szCs w:val="18"/>
              </w:rPr>
              <w:t>Beugin</w:t>
            </w:r>
            <w:proofErr w:type="spellEnd"/>
            <w:r>
              <w:rPr>
                <w:sz w:val="18"/>
                <w:szCs w:val="18"/>
              </w:rPr>
              <w:t xml:space="preserve"> Eric</w:t>
            </w:r>
          </w:p>
          <w:p w:rsidR="00924126" w:rsidRDefault="00924126" w:rsidP="0092412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Lardeur</w:t>
            </w:r>
            <w:proofErr w:type="spellEnd"/>
            <w:r>
              <w:rPr>
                <w:sz w:val="18"/>
                <w:szCs w:val="18"/>
              </w:rPr>
              <w:t xml:space="preserve"> Sylviane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- </w:t>
            </w:r>
            <w:proofErr w:type="spellStart"/>
            <w:r>
              <w:rPr>
                <w:sz w:val="18"/>
                <w:szCs w:val="18"/>
              </w:rPr>
              <w:t>Grard</w:t>
            </w:r>
            <w:proofErr w:type="spellEnd"/>
            <w:r>
              <w:rPr>
                <w:sz w:val="18"/>
                <w:szCs w:val="18"/>
              </w:rPr>
              <w:t xml:space="preserve"> Joan</w:t>
            </w:r>
          </w:p>
          <w:p w:rsidR="00924126" w:rsidRDefault="00924126" w:rsidP="00924126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Portugues</w:t>
            </w:r>
            <w:proofErr w:type="spellEnd"/>
            <w:r>
              <w:rPr>
                <w:sz w:val="18"/>
                <w:szCs w:val="18"/>
              </w:rPr>
              <w:t xml:space="preserve"> Corinne</w:t>
            </w:r>
          </w:p>
          <w:p w:rsidR="00924126" w:rsidRDefault="00924126" w:rsidP="009241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D12EEA" w:rsidRDefault="00D12EEA"/>
    <w:sectPr w:rsidR="00D12EEA" w:rsidSect="00FE4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20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73" w:rsidRDefault="00100573" w:rsidP="001E0447">
      <w:pPr>
        <w:spacing w:after="0" w:line="240" w:lineRule="auto"/>
      </w:pPr>
      <w:r>
        <w:separator/>
      </w:r>
    </w:p>
  </w:endnote>
  <w:endnote w:type="continuationSeparator" w:id="0">
    <w:p w:rsidR="00100573" w:rsidRDefault="00100573" w:rsidP="001E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7" w:rsidRDefault="001E04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7" w:rsidRDefault="001E0447">
    <w:pPr>
      <w:pStyle w:val="Pieddepage"/>
    </w:pPr>
    <w:r>
      <w:t xml:space="preserve">Joan </w:t>
    </w:r>
    <w:proofErr w:type="spellStart"/>
    <w:r>
      <w:t>Grard</w:t>
    </w:r>
    <w:proofErr w:type="spellEnd"/>
    <w:r>
      <w:t xml:space="preserve"> – Lycée Rosa Luxemburg (Canet en Roussillon)</w:t>
    </w:r>
    <w:r>
      <w:tab/>
    </w:r>
    <w:r>
      <w:rPr>
        <w:noProof/>
        <w:lang w:eastAsia="fr-FR" w:bidi="ar-SA"/>
      </w:rPr>
      <w:drawing>
        <wp:inline distT="0" distB="0" distL="0" distR="0">
          <wp:extent cx="876300" cy="628291"/>
          <wp:effectExtent l="19050" t="0" r="0" b="0"/>
          <wp:docPr id="3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62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7" w:rsidRDefault="001E04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73" w:rsidRDefault="00100573" w:rsidP="001E0447">
      <w:pPr>
        <w:spacing w:after="0" w:line="240" w:lineRule="auto"/>
      </w:pPr>
      <w:r>
        <w:separator/>
      </w:r>
    </w:p>
  </w:footnote>
  <w:footnote w:type="continuationSeparator" w:id="0">
    <w:p w:rsidR="00100573" w:rsidRDefault="00100573" w:rsidP="001E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7" w:rsidRDefault="001E044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7" w:rsidRDefault="001E044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47" w:rsidRDefault="001E04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803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1C911662"/>
    <w:multiLevelType w:val="hybridMultilevel"/>
    <w:tmpl w:val="1BB2C2F2"/>
    <w:lvl w:ilvl="0" w:tplc="BCEC5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12EEA"/>
    <w:rsid w:val="00100573"/>
    <w:rsid w:val="001E0447"/>
    <w:rsid w:val="00492A01"/>
    <w:rsid w:val="00707155"/>
    <w:rsid w:val="008524EC"/>
    <w:rsid w:val="008D7662"/>
    <w:rsid w:val="00924126"/>
    <w:rsid w:val="009E1FDB"/>
    <w:rsid w:val="00C030FB"/>
    <w:rsid w:val="00D12EEA"/>
    <w:rsid w:val="00ED555A"/>
    <w:rsid w:val="00FE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F2A"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paragraph" w:styleId="Titre1">
    <w:name w:val="heading 1"/>
    <w:basedOn w:val="Normal"/>
    <w:next w:val="Corpsdetexte"/>
    <w:qFormat/>
    <w:rsid w:val="00FE4F2A"/>
    <w:pPr>
      <w:spacing w:before="28" w:after="28" w:line="100" w:lineRule="atLeast"/>
      <w:outlineLvl w:val="0"/>
    </w:pPr>
    <w:rPr>
      <w:b/>
      <w:bCs/>
      <w:sz w:val="48"/>
      <w:szCs w:val="48"/>
    </w:rPr>
  </w:style>
  <w:style w:type="paragraph" w:styleId="Titre5">
    <w:name w:val="heading 5"/>
    <w:basedOn w:val="Normal"/>
    <w:next w:val="Corpsdetexte"/>
    <w:qFormat/>
    <w:rsid w:val="00FE4F2A"/>
    <w:pPr>
      <w:numPr>
        <w:ilvl w:val="4"/>
        <w:numId w:val="1"/>
      </w:numPr>
      <w:spacing w:before="240" w:after="60"/>
      <w:outlineLvl w:val="4"/>
    </w:pPr>
    <w:rPr>
      <w:rFonts w:ascii="Calibri" w:hAnsi="Calibri" w:cs="font371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FE4F2A"/>
  </w:style>
  <w:style w:type="character" w:customStyle="1" w:styleId="Titre1Car">
    <w:name w:val="Titre 1 Car"/>
    <w:rsid w:val="00FE4F2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Lienhypertexte">
    <w:name w:val="Hyperlink"/>
    <w:rsid w:val="00FE4F2A"/>
    <w:rPr>
      <w:rFonts w:cs="Times New Roman"/>
      <w:color w:val="0000FF"/>
      <w:u w:val="single"/>
    </w:rPr>
  </w:style>
  <w:style w:type="character" w:customStyle="1" w:styleId="TextedebullesCar">
    <w:name w:val="Texte de bulles Car"/>
    <w:rsid w:val="00FE4F2A"/>
    <w:rPr>
      <w:rFonts w:ascii="Tahoma" w:hAnsi="Tahoma"/>
      <w:sz w:val="16"/>
    </w:rPr>
  </w:style>
  <w:style w:type="character" w:styleId="lev">
    <w:name w:val="Strong"/>
    <w:qFormat/>
    <w:rsid w:val="00FE4F2A"/>
    <w:rPr>
      <w:rFonts w:cs="Times New Roman"/>
      <w:b/>
      <w:bCs/>
    </w:rPr>
  </w:style>
  <w:style w:type="character" w:customStyle="1" w:styleId="credit">
    <w:name w:val="credit"/>
    <w:rsid w:val="00FE4F2A"/>
    <w:rPr>
      <w:rFonts w:cs="Times New Roman"/>
    </w:rPr>
  </w:style>
  <w:style w:type="character" w:customStyle="1" w:styleId="ListedethmesCar">
    <w:name w:val="Liste de thèmes Car"/>
    <w:rsid w:val="00FE4F2A"/>
    <w:rPr>
      <w:rFonts w:ascii="Cambria" w:eastAsia="Times New Roman" w:hAnsi="Cambria" w:cs="font371"/>
      <w:b/>
      <w:bCs/>
      <w:i/>
      <w:iCs/>
      <w:color w:val="4F6228"/>
      <w:spacing w:val="10"/>
      <w:sz w:val="26"/>
      <w:szCs w:val="22"/>
      <w:lang w:val="fr-CA" w:eastAsia="en-US" w:bidi="en-US"/>
    </w:rPr>
  </w:style>
  <w:style w:type="character" w:customStyle="1" w:styleId="Titre5Car">
    <w:name w:val="Titre 5 Car"/>
    <w:rsid w:val="00FE4F2A"/>
    <w:rPr>
      <w:rFonts w:ascii="Calibri" w:hAnsi="Calibri" w:cs="font371"/>
      <w:b/>
      <w:bCs/>
      <w:i/>
      <w:iCs/>
      <w:sz w:val="26"/>
      <w:szCs w:val="26"/>
    </w:rPr>
  </w:style>
  <w:style w:type="character" w:customStyle="1" w:styleId="ListLabel1">
    <w:name w:val="ListLabel 1"/>
    <w:rsid w:val="00FE4F2A"/>
    <w:rPr>
      <w:rFonts w:eastAsia="Calibri" w:cs="Calibri"/>
    </w:rPr>
  </w:style>
  <w:style w:type="character" w:customStyle="1" w:styleId="ListLabel2">
    <w:name w:val="ListLabel 2"/>
    <w:rsid w:val="00FE4F2A"/>
    <w:rPr>
      <w:rFonts w:cs="Courier New"/>
    </w:rPr>
  </w:style>
  <w:style w:type="character" w:customStyle="1" w:styleId="ListLabel3">
    <w:name w:val="ListLabel 3"/>
    <w:rsid w:val="00FE4F2A"/>
    <w:rPr>
      <w:rFonts w:eastAsia="MS Mincho" w:cs="Times New Roman"/>
    </w:rPr>
  </w:style>
  <w:style w:type="character" w:customStyle="1" w:styleId="ListLabel4">
    <w:name w:val="ListLabel 4"/>
    <w:rsid w:val="00FE4F2A"/>
    <w:rPr>
      <w:rFonts w:cs="Symbol"/>
      <w:color w:val="FABF8F"/>
    </w:rPr>
  </w:style>
  <w:style w:type="paragraph" w:customStyle="1" w:styleId="Titre10">
    <w:name w:val="Titre1"/>
    <w:basedOn w:val="Normal"/>
    <w:next w:val="Corpsdetexte"/>
    <w:rsid w:val="00FE4F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FE4F2A"/>
    <w:pPr>
      <w:spacing w:after="120"/>
    </w:pPr>
  </w:style>
  <w:style w:type="paragraph" w:styleId="Liste">
    <w:name w:val="List"/>
    <w:basedOn w:val="Corpsdetexte"/>
    <w:rsid w:val="00FE4F2A"/>
  </w:style>
  <w:style w:type="paragraph" w:customStyle="1" w:styleId="Lgende1">
    <w:name w:val="Légende1"/>
    <w:basedOn w:val="Normal"/>
    <w:rsid w:val="00FE4F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FE4F2A"/>
    <w:pPr>
      <w:suppressLineNumbers/>
    </w:pPr>
  </w:style>
  <w:style w:type="paragraph" w:customStyle="1" w:styleId="spip">
    <w:name w:val="spip"/>
    <w:basedOn w:val="Normal"/>
    <w:rsid w:val="00FE4F2A"/>
    <w:pPr>
      <w:spacing w:before="28" w:after="28" w:line="100" w:lineRule="atLeast"/>
    </w:pPr>
    <w:rPr>
      <w:rFonts w:eastAsia="Times New Roman"/>
      <w:sz w:val="24"/>
      <w:szCs w:val="24"/>
    </w:rPr>
  </w:style>
  <w:style w:type="paragraph" w:customStyle="1" w:styleId="Textedebulles1">
    <w:name w:val="Texte de bulles1"/>
    <w:basedOn w:val="Normal"/>
    <w:rsid w:val="00FE4F2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rsid w:val="00FE4F2A"/>
    <w:pPr>
      <w:spacing w:before="28" w:after="28" w:line="100" w:lineRule="atLeas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rsid w:val="00FE4F2A"/>
    <w:pPr>
      <w:spacing w:before="28" w:after="28" w:line="100" w:lineRule="atLeast"/>
    </w:pPr>
    <w:rPr>
      <w:sz w:val="24"/>
      <w:szCs w:val="24"/>
    </w:rPr>
  </w:style>
  <w:style w:type="paragraph" w:customStyle="1" w:styleId="info">
    <w:name w:val="info"/>
    <w:basedOn w:val="Normal"/>
    <w:rsid w:val="00FE4F2A"/>
    <w:pPr>
      <w:spacing w:before="28" w:after="28" w:line="100" w:lineRule="atLeast"/>
    </w:pPr>
    <w:rPr>
      <w:sz w:val="24"/>
      <w:szCs w:val="24"/>
    </w:rPr>
  </w:style>
  <w:style w:type="paragraph" w:customStyle="1" w:styleId="Listedethmes">
    <w:name w:val="Liste de thèmes"/>
    <w:basedOn w:val="Titre5"/>
    <w:rsid w:val="00FE4F2A"/>
    <w:pPr>
      <w:keepNext/>
      <w:widowControl w:val="0"/>
      <w:numPr>
        <w:numId w:val="0"/>
      </w:numPr>
      <w:shd w:val="clear" w:color="auto" w:fill="FFFFFF"/>
      <w:tabs>
        <w:tab w:val="left" w:pos="284"/>
      </w:tabs>
      <w:spacing w:before="0" w:after="0" w:line="288" w:lineRule="auto"/>
      <w:outlineLvl w:val="9"/>
    </w:pPr>
    <w:rPr>
      <w:rFonts w:ascii="Cambria" w:eastAsia="Times New Roman" w:hAnsi="Cambria" w:cs="Times New Roman"/>
      <w:b w:val="0"/>
      <w:bCs w:val="0"/>
      <w:i w:val="0"/>
      <w:iCs w:val="0"/>
      <w:color w:val="4F6228"/>
      <w:spacing w:val="10"/>
      <w:sz w:val="20"/>
      <w:szCs w:val="22"/>
      <w:lang w:val="fr-CA" w:eastAsia="en-US" w:bidi="en-US"/>
    </w:rPr>
  </w:style>
  <w:style w:type="paragraph" w:styleId="Corpsdetexte2">
    <w:name w:val="Body Text 2"/>
    <w:basedOn w:val="Normal"/>
    <w:link w:val="Corpsdetexte2Car"/>
    <w:rsid w:val="00924126"/>
    <w:pPr>
      <w:spacing w:after="120" w:line="480" w:lineRule="auto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924126"/>
    <w:rPr>
      <w:rFonts w:eastAsia="SimSun" w:cs="Mangal"/>
      <w:kern w:val="1"/>
      <w:sz w:val="22"/>
      <w:lang w:eastAsia="hi-IN" w:bidi="hi-IN"/>
    </w:rPr>
  </w:style>
  <w:style w:type="paragraph" w:styleId="En-tte">
    <w:name w:val="header"/>
    <w:basedOn w:val="Normal"/>
    <w:link w:val="En-tteCar"/>
    <w:rsid w:val="001E0447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En-tteCar">
    <w:name w:val="En-tête Car"/>
    <w:basedOn w:val="Policepardfaut"/>
    <w:link w:val="En-tte"/>
    <w:rsid w:val="001E0447"/>
    <w:rPr>
      <w:rFonts w:eastAsia="SimSun" w:cs="Mangal"/>
      <w:kern w:val="1"/>
      <w:sz w:val="22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1E0447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E0447"/>
    <w:rPr>
      <w:rFonts w:eastAsia="SimSun" w:cs="Mangal"/>
      <w:kern w:val="1"/>
      <w:sz w:val="22"/>
      <w:lang w:eastAsia="hi-IN" w:bidi="hi-IN"/>
    </w:rPr>
  </w:style>
  <w:style w:type="paragraph" w:styleId="Textedebulles">
    <w:name w:val="Balloon Text"/>
    <w:basedOn w:val="Normal"/>
    <w:link w:val="TextedebullesCar1"/>
    <w:rsid w:val="001E04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1">
    <w:name w:val="Texte de bulles Car1"/>
    <w:basedOn w:val="Policepardfaut"/>
    <w:link w:val="Textedebulles"/>
    <w:rsid w:val="001E044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PÉDAGOGIQUE DE LA SÉQUENCE</vt:lpstr>
    </vt:vector>
  </TitlesOfParts>
  <Company>Lycee Jean Mermoz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PÉDAGOGIQUE DE LA SÉQUENCE</dc:title>
  <dc:creator>Rosa Luxembourg</dc:creator>
  <cp:lastModifiedBy>joan</cp:lastModifiedBy>
  <cp:revision>2</cp:revision>
  <cp:lastPrinted>1601-01-01T00:00:00Z</cp:lastPrinted>
  <dcterms:created xsi:type="dcterms:W3CDTF">2015-07-18T07:53:00Z</dcterms:created>
  <dcterms:modified xsi:type="dcterms:W3CDTF">2015-07-18T07:53:00Z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Lycee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